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-1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项目支出绩效自评表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（  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年度）</w:t>
      </w:r>
    </w:p>
    <w:p>
      <w:pPr>
        <w:spacing w:line="240" w:lineRule="exact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5"/>
        <w:tblW w:w="9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5"/>
        <w:gridCol w:w="1105"/>
        <w:gridCol w:w="727"/>
        <w:gridCol w:w="1127"/>
        <w:gridCol w:w="283"/>
        <w:gridCol w:w="849"/>
        <w:gridCol w:w="848"/>
        <w:gridCol w:w="279"/>
        <w:gridCol w:w="284"/>
        <w:gridCol w:w="420"/>
        <w:gridCol w:w="143"/>
        <w:gridCol w:w="703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4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年初预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算数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全年预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算数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其中：当年财政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拨款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上年结转资金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其他资金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5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0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偏差原因分析及改进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服务对象满意度标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6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vanish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填报注意事项：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1.得分一档最高不能超过该指标分值上限。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2.定量指标若为正向指标，则得分计算方法应用全年实际值（B）/年度指标值（A）*该指标分值；若定量指标为反向指标，则得分计算方法应用年度指标值（A）/全年实际值（B）*该指标分值。若年初指标值设定偏低，则得分计算方法应用（全年实际值（B）—年度指标值（A））/年度指标值（A）*100%。若计算结果在200%-300%（含200%）区间，则按照该指标分值的10%扣分；计算结果在300%-500%（含300%）区间，则按照该指标分值的20%扣分；计算结果高于500%（含500%），则按照该指标分值的30%扣分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3.请在“偏差原因分析及改进措施”中说明偏离目标、不能完成目标的原因及拟采取的措施。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4.90（含）-100分为优、80（含）-90分为良、60（含）-80分为中、60分以下为差。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74" w:bottom="1418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项目支出绩效评价报告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（参考模板）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（一）项目概况。包括项目背景、主要内容及实施情况、资金投入和使用情况等。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（二）项目绩效目标。包括总体目标和阶段性目标。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（三）绩效评价工作过程。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三、综合评价情况及评价结论（附相关评分表）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（二）项目过程情况。</w:t>
      </w:r>
    </w:p>
    <w:p>
      <w:pPr>
        <w:spacing w:line="60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（三）项目产出情况。</w:t>
      </w:r>
    </w:p>
    <w:p>
      <w:pPr>
        <w:spacing w:line="60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（四）项目效益情况。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六、有关建议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七、其他需要说明的问题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部门整体绩效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评价</w:t>
      </w:r>
      <w:r>
        <w:rPr>
          <w:rFonts w:hint="eastAsia" w:ascii="方正小标宋简体" w:eastAsia="方正小标宋简体"/>
          <w:sz w:val="36"/>
          <w:szCs w:val="36"/>
        </w:rPr>
        <w:t>报告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（参考模版）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一、部门概况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（一）机构设置及职责工作任务情况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（二）部门整体绩效目标设立情况（包括绩效目标设立依据、目标</w:t>
      </w:r>
      <w:r>
        <w:rPr>
          <w:rFonts w:ascii="楷体_GB2312" w:eastAsia="楷体_GB2312"/>
          <w:sz w:val="32"/>
          <w:szCs w:val="32"/>
        </w:rPr>
        <w:t>与</w:t>
      </w:r>
      <w:r>
        <w:rPr>
          <w:rFonts w:hint="eastAsia" w:ascii="楷体_GB2312" w:eastAsia="楷体_GB2312"/>
          <w:sz w:val="32"/>
          <w:szCs w:val="32"/>
        </w:rPr>
        <w:t>职责任务匹配情况、目标合理性等）。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当年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预算执行情况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全年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预算数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，基本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预算数xx万元，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项目支出预算数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xx万元，其他支出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预算数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xx万元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资金总体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支出xx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万元，其中，基本支出xx万元，项目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xx万元，其他支出xx万元。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预算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执行率为xx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left="105" w:leftChars="50" w:firstLine="480" w:firstLineChars="15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、整体绩效目标实现情况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（一）产出完成情况分析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1.产出数量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2.产出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质量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3.产出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进度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产出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成本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    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（二）效果</w:t>
      </w:r>
      <w:r>
        <w:rPr>
          <w:rFonts w:ascii="楷体_GB2312" w:eastAsia="楷体_GB2312"/>
          <w:sz w:val="32"/>
          <w:szCs w:val="32"/>
        </w:rPr>
        <w:t>实现情况分析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1.经济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效益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2.社会效益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3.环境效益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4.可持续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性影响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5.服务对象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满意度</w:t>
      </w:r>
    </w:p>
    <w:p>
      <w:pPr>
        <w:spacing w:line="600" w:lineRule="exact"/>
        <w:ind w:left="105" w:leftChars="50" w:firstLine="480" w:firstLineChars="15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、预算管理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情况分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析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（一）财务管理</w:t>
      </w:r>
    </w:p>
    <w:p>
      <w:pPr>
        <w:spacing w:line="600" w:lineRule="exact"/>
        <w:ind w:left="105" w:leftChars="50" w:firstLine="480" w:firstLineChars="1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1.财务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管理制度健全性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2.资金使用合规性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和安全性</w:t>
      </w:r>
    </w:p>
    <w:p>
      <w:pPr>
        <w:spacing w:line="600" w:lineRule="exact"/>
        <w:ind w:left="105" w:leftChars="50"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会计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基础信息完善性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（二）资产管理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（三）绩效</w:t>
      </w:r>
      <w:r>
        <w:rPr>
          <w:rFonts w:ascii="楷体_GB2312" w:eastAsia="楷体_GB2312"/>
          <w:sz w:val="32"/>
          <w:szCs w:val="32"/>
        </w:rPr>
        <w:t>管理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（四）结转结余率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（五）部门</w:t>
      </w:r>
      <w:r>
        <w:rPr>
          <w:rFonts w:ascii="楷体_GB2312" w:eastAsia="楷体_GB2312"/>
          <w:sz w:val="32"/>
          <w:szCs w:val="32"/>
        </w:rPr>
        <w:t>预决算差异率</w:t>
      </w:r>
    </w:p>
    <w:p>
      <w:pPr>
        <w:spacing w:line="600" w:lineRule="exact"/>
        <w:ind w:left="105" w:leftChars="50"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五、总体</w:t>
      </w:r>
      <w:r>
        <w:rPr>
          <w:rFonts w:ascii="黑体" w:hAnsi="黑体" w:eastAsia="黑体"/>
          <w:sz w:val="32"/>
          <w:szCs w:val="32"/>
        </w:rPr>
        <w:t>评价结论</w:t>
      </w:r>
    </w:p>
    <w:p>
      <w:pPr>
        <w:spacing w:line="600" w:lineRule="exact"/>
        <w:ind w:left="105" w:leftChars="50"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（一）评价</w:t>
      </w:r>
      <w:r>
        <w:rPr>
          <w:rFonts w:ascii="楷体_GB2312" w:eastAsia="楷体_GB2312"/>
          <w:sz w:val="32"/>
          <w:szCs w:val="32"/>
        </w:rPr>
        <w:t>得分</w:t>
      </w:r>
      <w:r>
        <w:rPr>
          <w:rFonts w:hint="eastAsia" w:ascii="楷体_GB2312" w:eastAsia="楷体_GB2312"/>
          <w:sz w:val="32"/>
          <w:szCs w:val="32"/>
        </w:rPr>
        <w:t>情况</w:t>
      </w:r>
    </w:p>
    <w:p>
      <w:pPr>
        <w:spacing w:line="600" w:lineRule="exact"/>
        <w:ind w:left="105" w:leftChars="50" w:firstLine="480" w:firstLineChars="1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（二）存在的问题及原因分析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六、措施建议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（整改措施、下一步工作举措）</w:t>
      </w:r>
    </w:p>
    <w:p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09F4"/>
    <w:rsid w:val="37173543"/>
    <w:rsid w:val="3FF76880"/>
    <w:rsid w:val="7AB7FF50"/>
    <w:rsid w:val="7BFEB0DB"/>
    <w:rsid w:val="CEFD3F3D"/>
    <w:rsid w:val="EA3F77F2"/>
    <w:rsid w:val="EEFE5989"/>
    <w:rsid w:val="EFCF3EAE"/>
    <w:rsid w:val="F5B764A2"/>
    <w:rsid w:val="F77F09F4"/>
    <w:rsid w:val="FFD7B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2022-03-09T19:16:00Z</dcterms:created>
  <dc:creator>user</dc:creator>
  <cp:lastModifiedBy>user</cp:lastModifiedBy>
  <dcterms:modified xsi:type="dcterms:W3CDTF">2022-03-18T09:55:38Z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