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4C" w:rsidRDefault="004A2D4C" w:rsidP="004A2D4C">
      <w:pPr>
        <w:spacing w:line="560" w:lineRule="exact"/>
        <w:jc w:val="center"/>
        <w:rPr>
          <w:rFonts w:ascii="华文中宋" w:eastAsia="华文中宋" w:hAnsi="华文中宋" w:cs="华文中宋"/>
          <w:sz w:val="44"/>
          <w:szCs w:val="44"/>
        </w:rPr>
      </w:pPr>
      <w:bookmarkStart w:id="0" w:name="_GoBack"/>
      <w:bookmarkStart w:id="1" w:name="OLE_LINK1"/>
      <w:bookmarkEnd w:id="0"/>
      <w:r>
        <w:rPr>
          <w:rFonts w:ascii="华文中宋" w:eastAsia="华文中宋" w:hAnsi="华文中宋" w:cs="华文中宋" w:hint="eastAsia"/>
          <w:sz w:val="44"/>
          <w:szCs w:val="44"/>
        </w:rPr>
        <w:t xml:space="preserve">北京市财政局               </w:t>
      </w:r>
    </w:p>
    <w:p w:rsidR="004A2D4C" w:rsidRDefault="004A2D4C" w:rsidP="004A2D4C">
      <w:pPr>
        <w:spacing w:line="560" w:lineRule="exact"/>
        <w:jc w:val="center"/>
      </w:pPr>
      <w:r>
        <w:rPr>
          <w:rFonts w:ascii="华文中宋" w:eastAsia="华文中宋" w:hAnsi="华文中宋" w:cs="华文中宋" w:hint="eastAsia"/>
          <w:sz w:val="44"/>
          <w:szCs w:val="44"/>
        </w:rPr>
        <w:t xml:space="preserve">2019年政府信息公开工作年度报告   </w:t>
      </w:r>
    </w:p>
    <w:p w:rsidR="004A2D4C" w:rsidRDefault="004A2D4C" w:rsidP="004A2D4C">
      <w:pPr>
        <w:spacing w:line="560" w:lineRule="exact"/>
        <w:ind w:firstLineChars="200" w:firstLine="640"/>
        <w:rPr>
          <w:rFonts w:ascii="仿宋_GB2312" w:eastAsia="仿宋_GB2312" w:hAnsi="仿宋_GB2312" w:cs="仿宋_GB2312"/>
          <w:sz w:val="32"/>
          <w:szCs w:val="32"/>
        </w:rPr>
      </w:pPr>
    </w:p>
    <w:p w:rsidR="004A2D4C" w:rsidRPr="00B504A1" w:rsidRDefault="00283142" w:rsidP="004A2D4C">
      <w:pPr>
        <w:spacing w:line="560" w:lineRule="exact"/>
        <w:ind w:firstLineChars="200" w:firstLine="640"/>
        <w:rPr>
          <w:rFonts w:ascii="仿宋_GB2312" w:eastAsia="仿宋_GB2312" w:hAnsi="仿宋"/>
          <w:color w:val="000000"/>
          <w:sz w:val="32"/>
          <w:szCs w:val="32"/>
        </w:rPr>
      </w:pPr>
      <w:r w:rsidRPr="00283142">
        <w:rPr>
          <w:rFonts w:ascii="仿宋_GB2312" w:eastAsia="仿宋_GB2312" w:hAnsi="仿宋" w:hint="eastAsia"/>
          <w:color w:val="000000"/>
          <w:sz w:val="32"/>
          <w:szCs w:val="32"/>
        </w:rPr>
        <w:t>依据《中华人民共和国政府信息公开条例》第五十条之规定，制作本报告。</w:t>
      </w:r>
    </w:p>
    <w:p w:rsidR="004A2D4C" w:rsidRDefault="004A2D4C" w:rsidP="004A2D4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4A2D4C" w:rsidRPr="00B504A1" w:rsidRDefault="00283142" w:rsidP="004A2D4C">
      <w:pPr>
        <w:spacing w:line="560" w:lineRule="exact"/>
        <w:ind w:firstLineChars="200" w:firstLine="643"/>
        <w:rPr>
          <w:rFonts w:ascii="仿宋_GB2312" w:eastAsia="仿宋_GB2312" w:hAnsi="仿宋" w:cs="仿宋_GB2312"/>
          <w:b/>
          <w:sz w:val="32"/>
          <w:szCs w:val="32"/>
        </w:rPr>
      </w:pPr>
      <w:r w:rsidRPr="00283142">
        <w:rPr>
          <w:rFonts w:ascii="仿宋_GB2312" w:eastAsia="仿宋_GB2312" w:hAnsi="仿宋" w:cs="仿宋_GB2312"/>
          <w:b/>
          <w:sz w:val="32"/>
          <w:szCs w:val="32"/>
        </w:rPr>
        <w:t>1．主动公开情况</w:t>
      </w:r>
    </w:p>
    <w:p w:rsidR="004A2D4C" w:rsidRPr="00B504A1" w:rsidRDefault="00283142" w:rsidP="004A2D4C">
      <w:pPr>
        <w:spacing w:line="560" w:lineRule="exact"/>
        <w:ind w:firstLineChars="200" w:firstLine="640"/>
        <w:rPr>
          <w:rFonts w:ascii="仿宋_GB2312" w:eastAsia="仿宋_GB2312" w:hAnsi="仿宋"/>
          <w:color w:val="000000"/>
          <w:sz w:val="32"/>
          <w:szCs w:val="32"/>
        </w:rPr>
      </w:pPr>
      <w:r w:rsidRPr="00283142">
        <w:rPr>
          <w:rFonts w:ascii="仿宋_GB2312" w:eastAsia="仿宋_GB2312" w:hAnsi="仿宋"/>
          <w:color w:val="000000"/>
          <w:sz w:val="32"/>
          <w:szCs w:val="32"/>
        </w:rPr>
        <w:t>2019年主动公开政府信息470件，较上一年度增长85.04％。其中，机构职能类2件，占0.43％；法规文件类1件，占0.21％；规划计划类12件，占2.55％；行政职责类29件，占6.17％；业务信息类426件，占90.64％。制发规范性文件30件，全部公开发布。</w:t>
      </w:r>
    </w:p>
    <w:p w:rsidR="004A2D4C" w:rsidRPr="00B504A1" w:rsidRDefault="00283142" w:rsidP="004A2D4C">
      <w:pPr>
        <w:spacing w:line="560" w:lineRule="exact"/>
        <w:ind w:firstLineChars="200" w:firstLine="643"/>
        <w:rPr>
          <w:rFonts w:ascii="仿宋_GB2312" w:eastAsia="仿宋_GB2312" w:hAnsi="仿宋" w:cs="仿宋_GB2312"/>
          <w:b/>
          <w:sz w:val="32"/>
          <w:szCs w:val="32"/>
        </w:rPr>
      </w:pPr>
      <w:r w:rsidRPr="00283142">
        <w:rPr>
          <w:rFonts w:ascii="仿宋_GB2312" w:eastAsia="仿宋_GB2312" w:hAnsi="仿宋" w:cs="仿宋_GB2312"/>
          <w:b/>
          <w:sz w:val="32"/>
          <w:szCs w:val="32"/>
        </w:rPr>
        <w:t>2．依申请公开办理情况</w:t>
      </w:r>
    </w:p>
    <w:p w:rsidR="004A2D4C" w:rsidRPr="00B504A1" w:rsidRDefault="00283142" w:rsidP="004A2D4C">
      <w:pPr>
        <w:spacing w:line="560" w:lineRule="exact"/>
        <w:ind w:firstLineChars="200" w:firstLine="640"/>
        <w:rPr>
          <w:rFonts w:ascii="仿宋_GB2312" w:eastAsia="仿宋_GB2312" w:hAnsi="仿宋"/>
          <w:sz w:val="32"/>
          <w:szCs w:val="32"/>
        </w:rPr>
      </w:pPr>
      <w:r w:rsidRPr="00283142">
        <w:rPr>
          <w:rFonts w:ascii="仿宋_GB2312" w:eastAsia="仿宋_GB2312" w:hAnsi="仿宋"/>
          <w:sz w:val="32"/>
          <w:szCs w:val="32"/>
        </w:rPr>
        <w:t>2019年办理政府信息公开申请74件（含上年度结转10件），结转下年度继续办理6件。已办结的74件申请中，答复结果为予以公开的21件，占28.37%；部分公开的15件，占20.27%；不予公开的4件，占5.41%；无法提供的27件，占36.49%；不予处理的7件，占9.46%。</w:t>
      </w:r>
    </w:p>
    <w:p w:rsidR="004A2D4C" w:rsidRPr="00B504A1" w:rsidRDefault="00283142" w:rsidP="004A2D4C">
      <w:pPr>
        <w:spacing w:line="560" w:lineRule="exact"/>
        <w:ind w:firstLineChars="200" w:firstLine="643"/>
        <w:rPr>
          <w:rFonts w:ascii="仿宋_GB2312" w:eastAsia="仿宋_GB2312" w:hAnsi="仿宋" w:cs="仿宋_GB2312"/>
          <w:b/>
          <w:sz w:val="32"/>
          <w:szCs w:val="32"/>
        </w:rPr>
      </w:pPr>
      <w:r w:rsidRPr="00283142">
        <w:rPr>
          <w:rFonts w:ascii="仿宋_GB2312" w:eastAsia="仿宋_GB2312" w:hAnsi="仿宋" w:cs="仿宋_GB2312"/>
          <w:b/>
          <w:sz w:val="32"/>
          <w:szCs w:val="32"/>
        </w:rPr>
        <w:t>3．政府信息资源的规范化、标准化管理情况</w:t>
      </w:r>
    </w:p>
    <w:p w:rsidR="004A2D4C" w:rsidRPr="00B504A1" w:rsidRDefault="00283142" w:rsidP="004A2D4C">
      <w:pPr>
        <w:spacing w:line="560" w:lineRule="exact"/>
        <w:ind w:firstLineChars="196" w:firstLine="630"/>
        <w:rPr>
          <w:rFonts w:ascii="仿宋_GB2312" w:eastAsia="仿宋_GB2312" w:hAnsi="仿宋"/>
          <w:sz w:val="32"/>
          <w:szCs w:val="32"/>
        </w:rPr>
      </w:pPr>
      <w:r w:rsidRPr="00283142">
        <w:rPr>
          <w:rFonts w:ascii="仿宋_GB2312" w:eastAsia="仿宋_GB2312" w:hAnsi="仿宋" w:hint="eastAsia"/>
          <w:b/>
          <w:sz w:val="32"/>
          <w:szCs w:val="32"/>
        </w:rPr>
        <w:t>一是</w:t>
      </w:r>
      <w:r w:rsidRPr="00283142">
        <w:rPr>
          <w:rFonts w:ascii="仿宋_GB2312" w:eastAsia="仿宋_GB2312" w:hAnsi="仿宋"/>
          <w:sz w:val="32"/>
          <w:szCs w:val="32"/>
        </w:rPr>
        <w:t>完善公开制度，健全工作机制。</w:t>
      </w:r>
      <w:r w:rsidRPr="00283142">
        <w:rPr>
          <w:rFonts w:ascii="仿宋_GB2312" w:eastAsia="仿宋_GB2312" w:hAnsi="仿宋" w:hint="eastAsia"/>
          <w:sz w:val="32"/>
          <w:szCs w:val="32"/>
        </w:rPr>
        <w:t>结合《政府信息公开条例》重新修订情况</w:t>
      </w:r>
      <w:r w:rsidRPr="00283142">
        <w:rPr>
          <w:rFonts w:ascii="仿宋_GB2312" w:eastAsia="仿宋_GB2312" w:hAnsi="仿宋"/>
          <w:sz w:val="32"/>
          <w:szCs w:val="32"/>
        </w:rPr>
        <w:t>，及时修改完善本单位政府信息公开制度办法，细化操作流程，</w:t>
      </w:r>
      <w:r w:rsidR="009C1BCB">
        <w:rPr>
          <w:rFonts w:ascii="仿宋_GB2312" w:eastAsia="仿宋_GB2312" w:hAnsi="仿宋" w:hint="eastAsia"/>
          <w:sz w:val="32"/>
          <w:szCs w:val="32"/>
        </w:rPr>
        <w:t>促进</w:t>
      </w:r>
      <w:r w:rsidRPr="00283142">
        <w:rPr>
          <w:rFonts w:ascii="仿宋_GB2312" w:eastAsia="仿宋_GB2312" w:hAnsi="仿宋"/>
          <w:sz w:val="32"/>
          <w:szCs w:val="32"/>
        </w:rPr>
        <w:t>公开工作更加规范。</w:t>
      </w:r>
      <w:r w:rsidRPr="00283142">
        <w:rPr>
          <w:rFonts w:ascii="仿宋_GB2312" w:eastAsia="仿宋_GB2312" w:hAnsi="仿宋"/>
          <w:b/>
          <w:sz w:val="32"/>
          <w:szCs w:val="32"/>
        </w:rPr>
        <w:t>二是</w:t>
      </w:r>
      <w:r w:rsidRPr="00283142">
        <w:rPr>
          <w:rFonts w:ascii="仿宋_GB2312" w:eastAsia="仿宋_GB2312" w:hAnsi="仿宋" w:hint="eastAsia"/>
          <w:sz w:val="32"/>
          <w:szCs w:val="32"/>
        </w:rPr>
        <w:t>扎实推进政府信息主动公开清单编制工作，做好清单发布和利用。按照覆盖全面、条目清晰、内容详实、标准明确</w:t>
      </w:r>
      <w:r w:rsidR="00B504A1">
        <w:rPr>
          <w:rFonts w:ascii="仿宋_GB2312" w:eastAsia="仿宋_GB2312" w:hAnsi="仿宋" w:hint="eastAsia"/>
          <w:sz w:val="32"/>
          <w:szCs w:val="32"/>
        </w:rPr>
        <w:t>原则，</w:t>
      </w:r>
      <w:r w:rsidR="00B504A1">
        <w:rPr>
          <w:rFonts w:ascii="仿宋_GB2312" w:eastAsia="仿宋_GB2312" w:hAnsi="仿宋" w:hint="eastAsia"/>
          <w:sz w:val="32"/>
          <w:szCs w:val="32"/>
        </w:rPr>
        <w:lastRenderedPageBreak/>
        <w:t>不断</w:t>
      </w:r>
      <w:r w:rsidRPr="00283142">
        <w:rPr>
          <w:rFonts w:ascii="仿宋_GB2312" w:eastAsia="仿宋_GB2312" w:hAnsi="仿宋"/>
          <w:sz w:val="32"/>
          <w:szCs w:val="32"/>
        </w:rPr>
        <w:t>充实完善政府信息主动公开清单，将所有财政业务归纳为政策文件、职权信息、财政数据等3类业务事项，并细分出14种信息类别68条政府信息，明确内容标准、公开时限、公开形式，形成了我局政府信息主动公开清单</w:t>
      </w:r>
      <w:r w:rsidRPr="00283142">
        <w:rPr>
          <w:rFonts w:ascii="仿宋_GB2312" w:eastAsia="仿宋_GB2312" w:hAnsi="仿宋" w:hint="eastAsia"/>
          <w:sz w:val="32"/>
          <w:szCs w:val="32"/>
        </w:rPr>
        <w:t>。</w:t>
      </w:r>
      <w:r w:rsidRPr="00283142">
        <w:rPr>
          <w:rFonts w:ascii="仿宋_GB2312" w:eastAsia="仿宋_GB2312" w:hAnsi="仿宋" w:hint="eastAsia"/>
          <w:b/>
          <w:sz w:val="32"/>
          <w:szCs w:val="32"/>
        </w:rPr>
        <w:t>三是</w:t>
      </w:r>
      <w:r w:rsidRPr="00283142">
        <w:rPr>
          <w:rFonts w:ascii="仿宋_GB2312" w:eastAsia="仿宋_GB2312" w:hAnsi="仿宋" w:hint="eastAsia"/>
          <w:sz w:val="32"/>
          <w:szCs w:val="32"/>
        </w:rPr>
        <w:t>实现规范性文件</w:t>
      </w:r>
      <w:r w:rsidRPr="00283142">
        <w:rPr>
          <w:rFonts w:ascii="仿宋_GB2312" w:eastAsia="仿宋_GB2312" w:hAnsi="仿宋"/>
          <w:sz w:val="32"/>
          <w:szCs w:val="32"/>
        </w:rPr>
        <w:t>精准分类。</w:t>
      </w:r>
      <w:r w:rsidRPr="00283142">
        <w:rPr>
          <w:rFonts w:ascii="仿宋_GB2312" w:eastAsia="仿宋_GB2312" w:hAnsi="仿宋" w:hint="eastAsia"/>
          <w:sz w:val="32"/>
          <w:szCs w:val="32"/>
        </w:rPr>
        <w:t>按照面向个人、面向法人两个大类，每大类分别按对象、生命周期、事项、效力等不同</w:t>
      </w:r>
      <w:r w:rsidR="009C1BCB">
        <w:rPr>
          <w:rFonts w:ascii="仿宋_GB2312" w:eastAsia="仿宋_GB2312" w:hAnsi="仿宋" w:hint="eastAsia"/>
          <w:sz w:val="32"/>
          <w:szCs w:val="32"/>
        </w:rPr>
        <w:t>要</w:t>
      </w:r>
      <w:r w:rsidRPr="00283142">
        <w:rPr>
          <w:rFonts w:ascii="仿宋_GB2312" w:eastAsia="仿宋_GB2312" w:hAnsi="仿宋"/>
          <w:sz w:val="32"/>
          <w:szCs w:val="32"/>
        </w:rPr>
        <w:t>素，将我局2012年及以后制发的规范性文件进行分类标注，在首都之窗</w:t>
      </w:r>
      <w:r w:rsidRPr="00283142">
        <w:rPr>
          <w:rFonts w:ascii="仿宋_GB2312" w:eastAsia="仿宋_GB2312" w:hAnsi="仿宋"/>
          <w:sz w:val="32"/>
          <w:szCs w:val="32"/>
        </w:rPr>
        <w:t>“</w:t>
      </w:r>
      <w:r w:rsidRPr="00283142">
        <w:rPr>
          <w:rFonts w:ascii="仿宋_GB2312" w:eastAsia="仿宋_GB2312" w:hAnsi="仿宋"/>
          <w:sz w:val="32"/>
          <w:szCs w:val="32"/>
        </w:rPr>
        <w:t>政策导航</w:t>
      </w:r>
      <w:r w:rsidRPr="00283142">
        <w:rPr>
          <w:rFonts w:ascii="仿宋_GB2312" w:eastAsia="仿宋_GB2312" w:hAnsi="仿宋"/>
          <w:sz w:val="32"/>
          <w:szCs w:val="32"/>
        </w:rPr>
        <w:t>”</w:t>
      </w:r>
      <w:r w:rsidRPr="00283142">
        <w:rPr>
          <w:rFonts w:ascii="仿宋_GB2312" w:eastAsia="仿宋_GB2312" w:hAnsi="仿宋"/>
          <w:sz w:val="32"/>
          <w:szCs w:val="32"/>
        </w:rPr>
        <w:t>栏目集中公开。公众可根据自身需求勾选查询类别，各类别的相关文件将归集呈现，提高了查询精准度、针对性和使用效率。</w:t>
      </w:r>
      <w:r w:rsidRPr="00283142">
        <w:rPr>
          <w:rFonts w:ascii="仿宋_GB2312" w:eastAsia="仿宋_GB2312" w:hAnsi="仿宋" w:hint="eastAsia"/>
          <w:b/>
          <w:sz w:val="32"/>
          <w:szCs w:val="32"/>
        </w:rPr>
        <w:t>四是</w:t>
      </w:r>
      <w:r w:rsidRPr="00283142">
        <w:rPr>
          <w:rFonts w:ascii="仿宋_GB2312" w:eastAsia="仿宋_GB2312" w:hAnsi="仿宋" w:hint="eastAsia"/>
          <w:sz w:val="32"/>
          <w:szCs w:val="32"/>
        </w:rPr>
        <w:t>提高政策解读效果。对</w:t>
      </w:r>
      <w:r w:rsidRPr="00283142">
        <w:rPr>
          <w:rFonts w:ascii="仿宋_GB2312" w:eastAsia="仿宋_GB2312" w:hAnsi="仿宋" w:cs="仿宋_GB2312" w:hint="eastAsia"/>
          <w:sz w:val="32"/>
          <w:szCs w:val="32"/>
        </w:rPr>
        <w:t>部分涉及面广、与民生关系密切、社会关注度高或专业性强的规范性文件进行解读，</w:t>
      </w:r>
      <w:r w:rsidRPr="00283142">
        <w:rPr>
          <w:rFonts w:ascii="仿宋_GB2312" w:eastAsia="仿宋_GB2312" w:hAnsi="仿宋" w:cs="仿宋_GB2312"/>
          <w:sz w:val="32"/>
          <w:szCs w:val="32"/>
        </w:rPr>
        <w:t>发布文字解读15篇，图表解读4篇</w:t>
      </w:r>
      <w:r w:rsidR="00B504A1">
        <w:rPr>
          <w:rFonts w:ascii="仿宋_GB2312" w:eastAsia="仿宋_GB2312" w:hAnsi="仿宋" w:cs="仿宋_GB2312" w:hint="eastAsia"/>
          <w:sz w:val="32"/>
          <w:szCs w:val="32"/>
        </w:rPr>
        <w:t>、</w:t>
      </w:r>
      <w:r w:rsidRPr="00283142">
        <w:rPr>
          <w:rFonts w:ascii="仿宋_GB2312" w:eastAsia="仿宋_GB2312" w:hAnsi="仿宋" w:cs="仿宋_GB2312"/>
          <w:sz w:val="32"/>
          <w:szCs w:val="32"/>
        </w:rPr>
        <w:t>媒体解读62篇，</w:t>
      </w:r>
      <w:r w:rsidR="00B504A1">
        <w:rPr>
          <w:rFonts w:ascii="仿宋_GB2312" w:eastAsia="仿宋_GB2312" w:hAnsi="仿宋" w:cs="仿宋_GB2312" w:hint="eastAsia"/>
          <w:sz w:val="32"/>
          <w:szCs w:val="32"/>
        </w:rPr>
        <w:t>便于</w:t>
      </w:r>
      <w:r w:rsidRPr="00283142">
        <w:rPr>
          <w:rFonts w:ascii="仿宋_GB2312" w:eastAsia="仿宋_GB2312" w:hAnsi="仿宋" w:cs="仿宋_GB2312"/>
          <w:sz w:val="32"/>
          <w:szCs w:val="32"/>
        </w:rPr>
        <w:t>公众</w:t>
      </w:r>
      <w:r w:rsidR="00B504A1">
        <w:rPr>
          <w:rFonts w:ascii="仿宋_GB2312" w:eastAsia="仿宋_GB2312" w:hAnsi="仿宋" w:cs="仿宋_GB2312" w:hint="eastAsia"/>
          <w:sz w:val="32"/>
          <w:szCs w:val="32"/>
        </w:rPr>
        <w:t>更好地</w:t>
      </w:r>
      <w:r w:rsidRPr="00283142">
        <w:rPr>
          <w:rFonts w:ascii="仿宋_GB2312" w:eastAsia="仿宋_GB2312" w:hAnsi="仿宋" w:cs="仿宋_GB2312"/>
          <w:sz w:val="32"/>
          <w:szCs w:val="32"/>
        </w:rPr>
        <w:t>获取政府信息</w:t>
      </w:r>
      <w:r w:rsidR="00B504A1">
        <w:rPr>
          <w:rFonts w:ascii="仿宋_GB2312" w:eastAsia="仿宋_GB2312" w:hAnsi="仿宋" w:cs="仿宋_GB2312" w:hint="eastAsia"/>
          <w:sz w:val="32"/>
          <w:szCs w:val="32"/>
        </w:rPr>
        <w:t>，</w:t>
      </w:r>
      <w:r w:rsidRPr="00283142">
        <w:rPr>
          <w:rFonts w:ascii="仿宋_GB2312" w:eastAsia="仿宋_GB2312" w:hAnsi="仿宋" w:cs="仿宋_GB2312"/>
          <w:sz w:val="32"/>
          <w:szCs w:val="32"/>
        </w:rPr>
        <w:t>了解财政政策。</w:t>
      </w:r>
    </w:p>
    <w:p w:rsidR="004A2D4C" w:rsidRPr="00B504A1" w:rsidRDefault="00283142" w:rsidP="004A2D4C">
      <w:pPr>
        <w:spacing w:line="560" w:lineRule="exact"/>
        <w:ind w:firstLineChars="200" w:firstLine="643"/>
        <w:rPr>
          <w:rFonts w:ascii="仿宋_GB2312" w:eastAsia="仿宋_GB2312" w:hAnsi="仿宋" w:cs="仿宋_GB2312"/>
          <w:b/>
          <w:sz w:val="32"/>
          <w:szCs w:val="32"/>
        </w:rPr>
      </w:pPr>
      <w:r w:rsidRPr="00283142">
        <w:rPr>
          <w:rFonts w:ascii="仿宋_GB2312" w:eastAsia="仿宋_GB2312" w:hAnsi="仿宋" w:cs="仿宋_GB2312"/>
          <w:b/>
          <w:sz w:val="32"/>
          <w:szCs w:val="32"/>
        </w:rPr>
        <w:t>4．政府信息公开平台建设情况</w:t>
      </w:r>
    </w:p>
    <w:p w:rsidR="004A2D4C" w:rsidRPr="00B504A1" w:rsidRDefault="00283142" w:rsidP="002D4D06">
      <w:pPr>
        <w:spacing w:line="560" w:lineRule="exact"/>
        <w:ind w:firstLineChars="200" w:firstLine="643"/>
        <w:rPr>
          <w:rFonts w:ascii="仿宋_GB2312" w:eastAsia="仿宋_GB2312" w:hAnsi="仿宋"/>
          <w:sz w:val="32"/>
          <w:szCs w:val="32"/>
        </w:rPr>
      </w:pPr>
      <w:r w:rsidRPr="00283142">
        <w:rPr>
          <w:rFonts w:ascii="仿宋_GB2312" w:eastAsia="仿宋_GB2312" w:hAnsi="仿宋" w:hint="eastAsia"/>
          <w:b/>
          <w:sz w:val="32"/>
          <w:szCs w:val="32"/>
        </w:rPr>
        <w:t>一是</w:t>
      </w:r>
      <w:r w:rsidRPr="00283142">
        <w:rPr>
          <w:rFonts w:ascii="仿宋_GB2312" w:eastAsia="仿宋_GB2312" w:hAnsi="仿宋"/>
          <w:sz w:val="32"/>
          <w:szCs w:val="32"/>
        </w:rPr>
        <w:t>严格按照</w:t>
      </w:r>
      <w:r w:rsidR="004A2D4C" w:rsidRPr="00B504A1">
        <w:rPr>
          <w:rFonts w:ascii="仿宋_GB2312" w:eastAsia="仿宋_GB2312" w:hint="eastAsia"/>
          <w:bCs/>
          <w:color w:val="000000"/>
          <w:sz w:val="32"/>
          <w:szCs w:val="32"/>
        </w:rPr>
        <w:t>《国务院办公厅政府信息与政务公开办公室关于规范政府信息公开平台有关事项的通知》要求，对“北京市财政局政府信息公开”平台页面设计方案、栏目名称、字号字段进行修改，及时更新版面设计。</w:t>
      </w:r>
      <w:r w:rsidRPr="00283142">
        <w:rPr>
          <w:rFonts w:ascii="仿宋_GB2312" w:eastAsia="仿宋_GB2312" w:hint="eastAsia"/>
          <w:b/>
          <w:bCs/>
          <w:color w:val="000000"/>
          <w:sz w:val="32"/>
          <w:szCs w:val="32"/>
        </w:rPr>
        <w:t>二是</w:t>
      </w:r>
      <w:r w:rsidR="004A2D4C" w:rsidRPr="00B504A1">
        <w:rPr>
          <w:rFonts w:ascii="仿宋_GB2312" w:eastAsia="仿宋_GB2312" w:hint="eastAsia"/>
          <w:bCs/>
          <w:color w:val="000000"/>
          <w:sz w:val="32"/>
          <w:szCs w:val="32"/>
        </w:rPr>
        <w:t>切实履行法定公开义务，对法定主动公开内容逐条逐项进行梳理，确保公开内容不遗漏、不缺失，在醒目位置展示政府信息公开指南、公开制度、法定主动公开内容和公开年报四个基本组成部分。</w:t>
      </w:r>
      <w:r w:rsidRPr="00283142">
        <w:rPr>
          <w:rFonts w:ascii="仿宋_GB2312" w:eastAsia="仿宋_GB2312" w:hint="eastAsia"/>
          <w:b/>
          <w:bCs/>
          <w:color w:val="000000"/>
          <w:sz w:val="32"/>
          <w:szCs w:val="32"/>
        </w:rPr>
        <w:t>三是</w:t>
      </w:r>
      <w:r w:rsidR="004A2D4C" w:rsidRPr="00B504A1">
        <w:rPr>
          <w:rFonts w:ascii="仿宋_GB2312" w:eastAsia="仿宋_GB2312" w:hint="eastAsia"/>
          <w:bCs/>
          <w:color w:val="000000"/>
          <w:sz w:val="32"/>
          <w:szCs w:val="32"/>
        </w:rPr>
        <w:t>进一步优化检索功能，通过信息精准分类、智能模糊查询等手段，方便公众快速准确获取政府信息。</w:t>
      </w:r>
      <w:r w:rsidRPr="00283142">
        <w:rPr>
          <w:rFonts w:ascii="仿宋_GB2312" w:eastAsia="仿宋_GB2312" w:hint="eastAsia"/>
          <w:b/>
          <w:bCs/>
          <w:color w:val="000000"/>
          <w:sz w:val="32"/>
          <w:szCs w:val="32"/>
        </w:rPr>
        <w:t>四是</w:t>
      </w:r>
      <w:r w:rsidR="004A2D4C" w:rsidRPr="00B504A1">
        <w:rPr>
          <w:rFonts w:ascii="仿宋_GB2312" w:eastAsia="仿宋_GB2312" w:hint="eastAsia"/>
          <w:bCs/>
          <w:color w:val="000000"/>
          <w:sz w:val="32"/>
          <w:szCs w:val="32"/>
        </w:rPr>
        <w:t>定期开展</w:t>
      </w:r>
      <w:r w:rsidR="004A2D4C" w:rsidRPr="00B504A1">
        <w:rPr>
          <w:rFonts w:ascii="仿宋_GB2312" w:eastAsia="仿宋_GB2312" w:hint="eastAsia"/>
          <w:bCs/>
          <w:color w:val="000000"/>
          <w:sz w:val="32"/>
          <w:szCs w:val="32"/>
        </w:rPr>
        <w:lastRenderedPageBreak/>
        <w:t>错词错链断链检查。</w:t>
      </w:r>
      <w:r w:rsidR="004A2D4C" w:rsidRPr="00B504A1">
        <w:rPr>
          <w:rFonts w:ascii="仿宋_GB2312" w:eastAsia="仿宋_GB2312" w:hint="eastAsia"/>
          <w:sz w:val="32"/>
          <w:szCs w:val="32"/>
        </w:rPr>
        <w:t>通过机器扫描、人工检查等方法，对发布信息链接可用情况、信息内容准确性进行检查。</w:t>
      </w:r>
      <w:r w:rsidRPr="00283142">
        <w:rPr>
          <w:rFonts w:ascii="仿宋_GB2312" w:eastAsia="仿宋_GB2312" w:hint="eastAsia"/>
          <w:b/>
          <w:color w:val="000000"/>
          <w:sz w:val="32"/>
          <w:szCs w:val="32"/>
          <w:shd w:val="clear" w:color="auto" w:fill="FFFFFF"/>
        </w:rPr>
        <w:t>五是</w:t>
      </w:r>
      <w:r w:rsidR="004A2D4C" w:rsidRPr="00B504A1">
        <w:rPr>
          <w:rFonts w:ascii="仿宋_GB2312" w:eastAsia="仿宋_GB2312" w:hint="eastAsia"/>
          <w:color w:val="000000"/>
          <w:sz w:val="32"/>
          <w:szCs w:val="32"/>
          <w:shd w:val="clear" w:color="auto" w:fill="FFFFFF"/>
        </w:rPr>
        <w:t>做好门户网站管理</w:t>
      </w:r>
      <w:r w:rsidR="004A2D4C" w:rsidRPr="00B504A1">
        <w:rPr>
          <w:rFonts w:ascii="仿宋_GB2312" w:eastAsia="仿宋_GB2312" w:hint="eastAsia"/>
          <w:sz w:val="32"/>
          <w:szCs w:val="32"/>
        </w:rPr>
        <w:t>。每季度开展网站自查，统计内容更新、栏目更新及网站访问情况，</w:t>
      </w:r>
      <w:r w:rsidR="004A2D4C" w:rsidRPr="00B504A1">
        <w:rPr>
          <w:rFonts w:ascii="仿宋_GB2312" w:eastAsia="仿宋_GB2312" w:hint="eastAsia"/>
          <w:color w:val="000000"/>
          <w:sz w:val="32"/>
          <w:szCs w:val="32"/>
          <w:shd w:val="clear" w:color="auto" w:fill="FFFFFF"/>
        </w:rPr>
        <w:t>确保我局网站运行稳定、功能正常。</w:t>
      </w:r>
    </w:p>
    <w:p w:rsidR="004A2D4C" w:rsidRPr="00B504A1" w:rsidRDefault="009C1BCB" w:rsidP="004A2D4C">
      <w:pPr>
        <w:spacing w:line="560" w:lineRule="exact"/>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5</w:t>
      </w:r>
      <w:r w:rsidR="00283142" w:rsidRPr="00283142">
        <w:rPr>
          <w:rFonts w:ascii="仿宋_GB2312" w:eastAsia="仿宋_GB2312" w:hAnsi="仿宋" w:cs="仿宋_GB2312" w:hint="eastAsia"/>
          <w:b/>
          <w:sz w:val="32"/>
          <w:szCs w:val="32"/>
        </w:rPr>
        <w:t>．政府信息公开监督保障及教育培训情况</w:t>
      </w:r>
    </w:p>
    <w:p w:rsidR="004A2D4C" w:rsidRPr="00B504A1" w:rsidRDefault="00283142" w:rsidP="002D4D06">
      <w:pPr>
        <w:spacing w:line="560" w:lineRule="exact"/>
        <w:ind w:firstLineChars="200" w:firstLine="643"/>
        <w:rPr>
          <w:rFonts w:ascii="仿宋_GB2312" w:eastAsia="仿宋_GB2312" w:hAnsi="仿宋"/>
          <w:sz w:val="32"/>
          <w:szCs w:val="32"/>
        </w:rPr>
      </w:pPr>
      <w:r w:rsidRPr="00283142">
        <w:rPr>
          <w:rFonts w:ascii="仿宋_GB2312" w:eastAsia="仿宋_GB2312" w:hAnsi="仿宋" w:hint="eastAsia"/>
          <w:b/>
          <w:sz w:val="32"/>
          <w:szCs w:val="32"/>
        </w:rPr>
        <w:t>一是</w:t>
      </w:r>
      <w:r w:rsidRPr="00283142">
        <w:rPr>
          <w:rFonts w:ascii="仿宋_GB2312" w:eastAsia="仿宋_GB2312" w:hAnsi="仿宋" w:hint="eastAsia"/>
          <w:sz w:val="32"/>
          <w:szCs w:val="32"/>
        </w:rPr>
        <w:t>将政府信息公开工作纳入局内绩效管理考评，通过细化考评细则，明确考评标准，提高</w:t>
      </w:r>
      <w:r w:rsidRPr="00283142">
        <w:rPr>
          <w:rFonts w:ascii="仿宋_GB2312" w:eastAsia="仿宋_GB2312" w:hAnsi="仿宋"/>
          <w:sz w:val="32"/>
          <w:szCs w:val="32"/>
        </w:rPr>
        <w:t>对政府信息公开重要性的认识。</w:t>
      </w:r>
      <w:r w:rsidRPr="00283142">
        <w:rPr>
          <w:rFonts w:ascii="仿宋_GB2312" w:eastAsia="仿宋_GB2312" w:hAnsi="仿宋" w:hint="eastAsia"/>
          <w:b/>
          <w:sz w:val="32"/>
          <w:szCs w:val="32"/>
        </w:rPr>
        <w:t>二是</w:t>
      </w:r>
      <w:r w:rsidR="00B504A1">
        <w:rPr>
          <w:rFonts w:ascii="仿宋_GB2312" w:eastAsia="仿宋_GB2312" w:hAnsi="仿宋" w:hint="eastAsia"/>
          <w:sz w:val="32"/>
          <w:szCs w:val="32"/>
        </w:rPr>
        <w:t>定期</w:t>
      </w:r>
      <w:r w:rsidRPr="00283142">
        <w:rPr>
          <w:rFonts w:ascii="仿宋_GB2312" w:eastAsia="仿宋_GB2312" w:hAnsi="仿宋"/>
          <w:sz w:val="32"/>
          <w:szCs w:val="32"/>
        </w:rPr>
        <w:t>通报</w:t>
      </w:r>
      <w:r w:rsidR="00B504A1" w:rsidRPr="007B15D6">
        <w:rPr>
          <w:rFonts w:ascii="仿宋_GB2312" w:eastAsia="仿宋_GB2312" w:hAnsi="仿宋" w:hint="eastAsia"/>
          <w:sz w:val="32"/>
          <w:szCs w:val="32"/>
        </w:rPr>
        <w:t>局属各单位</w:t>
      </w:r>
      <w:r w:rsidRPr="00283142">
        <w:rPr>
          <w:rFonts w:ascii="仿宋_GB2312" w:eastAsia="仿宋_GB2312" w:hAnsi="仿宋"/>
          <w:sz w:val="32"/>
          <w:szCs w:val="32"/>
        </w:rPr>
        <w:t>信息公开工作开展情况，推动信息公开水平稳步提升</w:t>
      </w:r>
      <w:r w:rsidR="00B504A1" w:rsidRPr="00BE4C50">
        <w:rPr>
          <w:rFonts w:ascii="仿宋_GB2312" w:eastAsia="仿宋_GB2312" w:hAnsi="仿宋" w:hint="eastAsia"/>
          <w:sz w:val="32"/>
          <w:szCs w:val="32"/>
        </w:rPr>
        <w:t>，信息公开是行政机关法定义务的观念深入人心</w:t>
      </w:r>
      <w:r w:rsidRPr="00283142">
        <w:rPr>
          <w:rFonts w:ascii="仿宋_GB2312" w:eastAsia="仿宋_GB2312" w:hAnsi="仿宋" w:hint="eastAsia"/>
          <w:sz w:val="32"/>
          <w:szCs w:val="32"/>
        </w:rPr>
        <w:t>。</w:t>
      </w:r>
      <w:r w:rsidRPr="00283142">
        <w:rPr>
          <w:rFonts w:ascii="仿宋_GB2312" w:eastAsia="仿宋_GB2312" w:hAnsi="仿宋" w:hint="eastAsia"/>
          <w:b/>
          <w:sz w:val="32"/>
          <w:szCs w:val="32"/>
        </w:rPr>
        <w:t>三是</w:t>
      </w:r>
      <w:r w:rsidRPr="00283142">
        <w:rPr>
          <w:rFonts w:ascii="仿宋_GB2312" w:eastAsia="仿宋_GB2312" w:hAnsi="仿宋" w:hint="eastAsia"/>
          <w:sz w:val="32"/>
          <w:szCs w:val="32"/>
        </w:rPr>
        <w:t>对新入职人员开展政府信息公开工作培训，</w:t>
      </w:r>
      <w:r w:rsidR="009C1BCB">
        <w:rPr>
          <w:rFonts w:ascii="仿宋_GB2312" w:eastAsia="仿宋_GB2312" w:hAnsi="仿宋" w:hint="eastAsia"/>
          <w:sz w:val="32"/>
          <w:szCs w:val="32"/>
        </w:rPr>
        <w:t>讲解相关法律</w:t>
      </w:r>
      <w:r w:rsidRPr="00283142">
        <w:rPr>
          <w:rFonts w:ascii="仿宋_GB2312" w:eastAsia="仿宋_GB2312" w:hAnsi="仿宋"/>
          <w:sz w:val="32"/>
          <w:szCs w:val="32"/>
        </w:rPr>
        <w:t>制度、目标任务、工作流程，打牢信息公开工作基础。</w:t>
      </w:r>
    </w:p>
    <w:p w:rsidR="004A2D4C" w:rsidRDefault="004A2D4C" w:rsidP="004A2D4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二、主动公开政府信息情况</w:t>
      </w:r>
    </w:p>
    <w:tbl>
      <w:tblPr>
        <w:tblW w:w="0" w:type="auto"/>
        <w:jc w:val="center"/>
        <w:tblLayout w:type="fixed"/>
        <w:tblCellMar>
          <w:top w:w="15" w:type="dxa"/>
          <w:left w:w="15" w:type="dxa"/>
          <w:bottom w:w="15" w:type="dxa"/>
          <w:right w:w="15" w:type="dxa"/>
        </w:tblCellMar>
        <w:tblLook w:val="0000"/>
      </w:tblPr>
      <w:tblGrid>
        <w:gridCol w:w="1477"/>
        <w:gridCol w:w="1636"/>
        <w:gridCol w:w="1875"/>
        <w:gridCol w:w="6"/>
        <w:gridCol w:w="1265"/>
        <w:gridCol w:w="1881"/>
      </w:tblGrid>
      <w:tr w:rsidR="004A2D4C" w:rsidTr="0086334D">
        <w:trPr>
          <w:trHeight w:val="495"/>
          <w:jc w:val="center"/>
        </w:trPr>
        <w:tc>
          <w:tcPr>
            <w:tcW w:w="8140" w:type="dxa"/>
            <w:gridSpan w:val="6"/>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第二十条第（一）项</w:t>
            </w:r>
          </w:p>
        </w:tc>
      </w:tr>
      <w:tr w:rsidR="004A2D4C" w:rsidTr="0086334D">
        <w:trPr>
          <w:trHeight w:val="882"/>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本年新</w:t>
            </w:r>
            <w:r>
              <w:rPr>
                <w:rFonts w:ascii="宋体" w:hAnsi="宋体" w:cs="宋体" w:hint="eastAsia"/>
                <w:color w:val="000000"/>
                <w:kern w:val="0"/>
                <w:sz w:val="20"/>
                <w:szCs w:val="20"/>
                <w:lang/>
              </w:rPr>
              <w:br/>
            </w:r>
            <w:r>
              <w:rPr>
                <w:color w:val="000000"/>
                <w:kern w:val="0"/>
                <w:sz w:val="20"/>
                <w:szCs w:val="20"/>
                <w:lang/>
              </w:rPr>
              <w:t>制作数量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本年新</w:t>
            </w:r>
            <w:r>
              <w:rPr>
                <w:rFonts w:ascii="宋体" w:hAnsi="宋体" w:cs="宋体" w:hint="eastAsia"/>
                <w:color w:val="000000"/>
                <w:kern w:val="0"/>
                <w:sz w:val="20"/>
                <w:szCs w:val="20"/>
                <w:lang/>
              </w:rPr>
              <w:br/>
            </w:r>
            <w:r>
              <w:rPr>
                <w:color w:val="000000"/>
                <w:kern w:val="0"/>
                <w:sz w:val="20"/>
                <w:szCs w:val="20"/>
                <w:lang/>
              </w:rPr>
              <w:t>公开数量</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对外公开总数量</w:t>
            </w:r>
          </w:p>
        </w:tc>
      </w:tr>
      <w:tr w:rsidR="004A2D4C" w:rsidTr="0086334D">
        <w:trPr>
          <w:trHeight w:val="523"/>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宋体" w:hAnsi="宋体" w:cs="宋体" w:hint="eastAsia"/>
                <w:color w:val="000000"/>
                <w:kern w:val="0"/>
                <w:sz w:val="20"/>
                <w:szCs w:val="20"/>
                <w:lang/>
              </w:rPr>
              <w:t>规章</w:t>
            </w:r>
          </w:p>
        </w:tc>
        <w:tc>
          <w:tcPr>
            <w:tcW w:w="187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0</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color w:val="000000"/>
                <w:kern w:val="0"/>
                <w:sz w:val="20"/>
                <w:szCs w:val="20"/>
                <w:lang/>
              </w:rPr>
              <w:t>0</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0</w:t>
            </w:r>
          </w:p>
        </w:tc>
      </w:tr>
      <w:tr w:rsidR="004A2D4C" w:rsidTr="0086334D">
        <w:trPr>
          <w:trHeight w:val="471"/>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宋体" w:hAnsi="宋体" w:cs="宋体" w:hint="eastAsia"/>
                <w:color w:val="000000"/>
                <w:kern w:val="0"/>
                <w:sz w:val="20"/>
                <w:szCs w:val="20"/>
                <w:lang/>
              </w:rPr>
              <w:t>规范性文件</w:t>
            </w:r>
          </w:p>
        </w:tc>
        <w:tc>
          <w:tcPr>
            <w:tcW w:w="187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30</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color w:val="000000"/>
                <w:kern w:val="0"/>
                <w:sz w:val="20"/>
                <w:szCs w:val="20"/>
                <w:lang/>
              </w:rPr>
              <w:t>30</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2623</w:t>
            </w:r>
          </w:p>
        </w:tc>
      </w:tr>
      <w:tr w:rsidR="004A2D4C" w:rsidTr="0086334D">
        <w:trPr>
          <w:trHeight w:val="480"/>
          <w:jc w:val="center"/>
        </w:trPr>
        <w:tc>
          <w:tcPr>
            <w:tcW w:w="8140" w:type="dxa"/>
            <w:gridSpan w:val="6"/>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第二十条第（五）项</w:t>
            </w:r>
          </w:p>
        </w:tc>
      </w:tr>
      <w:tr w:rsidR="004A2D4C" w:rsidTr="0086334D">
        <w:trPr>
          <w:trHeight w:val="634"/>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本年增/减</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处理决定数量</w:t>
            </w:r>
          </w:p>
        </w:tc>
      </w:tr>
      <w:tr w:rsidR="004A2D4C" w:rsidTr="0086334D">
        <w:trPr>
          <w:trHeight w:val="528"/>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宋体" w:hAnsi="宋体" w:cs="宋体" w:hint="eastAsia"/>
                <w:color w:val="000000"/>
                <w:kern w:val="0"/>
                <w:sz w:val="20"/>
                <w:szCs w:val="20"/>
                <w:lang/>
              </w:rPr>
              <w:t>行政许可</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27</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w:t>
            </w:r>
            <w:r>
              <w:rPr>
                <w:rFonts w:ascii="宋体" w:hAnsi="宋体" w:cs="宋体"/>
                <w:color w:val="000000"/>
                <w:kern w:val="0"/>
                <w:sz w:val="20"/>
                <w:szCs w:val="20"/>
                <w:lang/>
              </w:rPr>
              <w:t>17</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4</w:t>
            </w:r>
            <w:r>
              <w:rPr>
                <w:rFonts w:ascii="宋体" w:hAnsi="宋体" w:cs="宋体"/>
                <w:color w:val="000000"/>
                <w:kern w:val="0"/>
                <w:sz w:val="20"/>
                <w:szCs w:val="20"/>
                <w:lang/>
              </w:rPr>
              <w:t>4</w:t>
            </w:r>
          </w:p>
        </w:tc>
      </w:tr>
      <w:tr w:rsidR="004A2D4C" w:rsidTr="0086334D">
        <w:trPr>
          <w:trHeight w:val="550"/>
          <w:jc w:val="center"/>
        </w:trPr>
        <w:tc>
          <w:tcPr>
            <w:tcW w:w="1477" w:type="dxa"/>
            <w:vMerge w:val="restart"/>
            <w:tcBorders>
              <w:top w:val="nil"/>
              <w:left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宋体" w:hAnsi="宋体" w:cs="宋体" w:hint="eastAsia"/>
                <w:color w:val="000000"/>
                <w:kern w:val="0"/>
                <w:sz w:val="20"/>
                <w:szCs w:val="20"/>
                <w:lang/>
              </w:rPr>
              <w:t>其他对外管理服务事项</w:t>
            </w:r>
          </w:p>
        </w:tc>
        <w:tc>
          <w:tcPr>
            <w:tcW w:w="1636" w:type="dxa"/>
            <w:tcBorders>
              <w:top w:val="nil"/>
              <w:left w:val="single" w:sz="8" w:space="0" w:color="auto"/>
              <w:bottom w:val="single" w:sz="8" w:space="0" w:color="auto"/>
              <w:right w:val="single" w:sz="8" w:space="0" w:color="auto"/>
            </w:tcBorders>
            <w:shd w:val="clear" w:color="auto" w:fill="E6F4FF"/>
            <w:vAlign w:val="center"/>
          </w:tcPr>
          <w:p w:rsidR="004A2D4C" w:rsidRDefault="004A2D4C" w:rsidP="0086334D">
            <w:pPr>
              <w:widowControl/>
              <w:ind w:firstLineChars="60" w:firstLine="126"/>
              <w:jc w:val="left"/>
              <w:rPr>
                <w:color w:val="000000"/>
              </w:rPr>
            </w:pPr>
            <w:r>
              <w:rPr>
                <w:rFonts w:hint="eastAsia"/>
                <w:color w:val="000000"/>
              </w:rPr>
              <w:t>行政</w:t>
            </w:r>
            <w:r>
              <w:rPr>
                <w:color w:val="000000"/>
              </w:rPr>
              <w:t>检查</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183</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w:t>
            </w:r>
            <w:r>
              <w:rPr>
                <w:rFonts w:ascii="宋体" w:hAnsi="宋体" w:cs="宋体"/>
                <w:color w:val="000000"/>
                <w:kern w:val="0"/>
                <w:sz w:val="20"/>
                <w:szCs w:val="20"/>
                <w:lang/>
              </w:rPr>
              <w:t>219</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4</w:t>
            </w:r>
            <w:r>
              <w:rPr>
                <w:rFonts w:ascii="宋体" w:hAnsi="宋体" w:cs="宋体"/>
                <w:color w:val="000000"/>
                <w:kern w:val="0"/>
                <w:sz w:val="20"/>
                <w:szCs w:val="20"/>
                <w:lang/>
              </w:rPr>
              <w:t>02</w:t>
            </w:r>
          </w:p>
        </w:tc>
      </w:tr>
      <w:tr w:rsidR="004A2D4C" w:rsidTr="0086334D">
        <w:trPr>
          <w:trHeight w:val="550"/>
          <w:jc w:val="center"/>
        </w:trPr>
        <w:tc>
          <w:tcPr>
            <w:tcW w:w="1477" w:type="dxa"/>
            <w:vMerge/>
            <w:tcBorders>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rFonts w:ascii="宋体" w:hAnsi="宋体" w:cs="宋体"/>
                <w:color w:val="000000"/>
                <w:kern w:val="0"/>
                <w:sz w:val="20"/>
                <w:szCs w:val="20"/>
                <w:lang/>
              </w:rPr>
            </w:pPr>
          </w:p>
        </w:tc>
        <w:tc>
          <w:tcPr>
            <w:tcW w:w="1636" w:type="dxa"/>
            <w:tcBorders>
              <w:top w:val="nil"/>
              <w:left w:val="single" w:sz="8" w:space="0" w:color="auto"/>
              <w:bottom w:val="single" w:sz="8" w:space="0" w:color="auto"/>
              <w:right w:val="single" w:sz="8" w:space="0" w:color="auto"/>
            </w:tcBorders>
            <w:shd w:val="clear" w:color="auto" w:fill="E6F4FF"/>
            <w:vAlign w:val="center"/>
          </w:tcPr>
          <w:p w:rsidR="004A2D4C" w:rsidRDefault="004A2D4C" w:rsidP="0086334D">
            <w:pPr>
              <w:widowControl/>
              <w:ind w:firstLineChars="63" w:firstLine="126"/>
              <w:jc w:val="left"/>
              <w:rPr>
                <w:rFonts w:ascii="宋体" w:hAnsi="宋体" w:cs="宋体"/>
                <w:color w:val="000000"/>
                <w:kern w:val="0"/>
                <w:sz w:val="20"/>
                <w:szCs w:val="20"/>
                <w:lang/>
              </w:rPr>
            </w:pPr>
            <w:r>
              <w:rPr>
                <w:rFonts w:ascii="宋体" w:hAnsi="宋体" w:cs="宋体" w:hint="eastAsia"/>
                <w:color w:val="000000"/>
                <w:kern w:val="0"/>
                <w:sz w:val="20"/>
                <w:szCs w:val="20"/>
                <w:lang/>
              </w:rPr>
              <w:t>行政</w:t>
            </w:r>
            <w:r>
              <w:rPr>
                <w:rFonts w:ascii="宋体" w:hAnsi="宋体" w:cs="宋体"/>
                <w:color w:val="000000"/>
                <w:kern w:val="0"/>
                <w:sz w:val="20"/>
                <w:szCs w:val="20"/>
                <w:lang/>
              </w:rPr>
              <w:t>确认</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s="宋体"/>
                <w:color w:val="000000"/>
                <w:kern w:val="0"/>
                <w:sz w:val="20"/>
                <w:szCs w:val="20"/>
                <w:lang/>
              </w:rPr>
            </w:pPr>
            <w:r>
              <w:rPr>
                <w:rFonts w:ascii="宋体" w:hAnsi="宋体" w:cs="宋体" w:hint="eastAsia"/>
                <w:color w:val="000000"/>
                <w:kern w:val="0"/>
                <w:sz w:val="20"/>
                <w:szCs w:val="20"/>
                <w:lang/>
              </w:rPr>
              <w:t>611</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s="宋体"/>
                <w:color w:val="000000"/>
                <w:kern w:val="0"/>
                <w:sz w:val="20"/>
                <w:szCs w:val="20"/>
                <w:lang/>
              </w:rPr>
            </w:pPr>
            <w:r>
              <w:rPr>
                <w:rFonts w:ascii="宋体" w:hAnsi="宋体" w:cs="宋体" w:hint="eastAsia"/>
                <w:color w:val="000000"/>
                <w:kern w:val="0"/>
                <w:sz w:val="20"/>
                <w:szCs w:val="20"/>
                <w:lang/>
              </w:rPr>
              <w:t>-408</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s="宋体"/>
                <w:color w:val="000000"/>
                <w:kern w:val="0"/>
                <w:sz w:val="20"/>
                <w:szCs w:val="20"/>
                <w:lang/>
              </w:rPr>
            </w:pPr>
            <w:r>
              <w:rPr>
                <w:rFonts w:ascii="宋体" w:hAnsi="宋体" w:cs="宋体" w:hint="eastAsia"/>
                <w:color w:val="000000"/>
                <w:kern w:val="0"/>
                <w:sz w:val="20"/>
                <w:szCs w:val="20"/>
                <w:lang/>
              </w:rPr>
              <w:t>203</w:t>
            </w:r>
          </w:p>
        </w:tc>
      </w:tr>
      <w:tr w:rsidR="004A2D4C" w:rsidTr="0086334D">
        <w:trPr>
          <w:trHeight w:val="406"/>
          <w:jc w:val="center"/>
        </w:trPr>
        <w:tc>
          <w:tcPr>
            <w:tcW w:w="8140" w:type="dxa"/>
            <w:gridSpan w:val="6"/>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第二十条第（六）项</w:t>
            </w:r>
          </w:p>
        </w:tc>
      </w:tr>
      <w:tr w:rsidR="004A2D4C" w:rsidTr="0086334D">
        <w:trPr>
          <w:trHeight w:val="634"/>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本年增/减</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处理决定数量</w:t>
            </w:r>
          </w:p>
        </w:tc>
      </w:tr>
      <w:tr w:rsidR="004A2D4C" w:rsidTr="0086334D">
        <w:trPr>
          <w:trHeight w:val="430"/>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宋体" w:hAnsi="宋体" w:cs="宋体" w:hint="eastAsia"/>
                <w:color w:val="000000"/>
                <w:kern w:val="0"/>
                <w:sz w:val="20"/>
                <w:szCs w:val="20"/>
                <w:lang/>
              </w:rPr>
              <w:lastRenderedPageBreak/>
              <w:t>行政处罚</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25</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color w:val="000000"/>
                <w:kern w:val="0"/>
                <w:sz w:val="20"/>
                <w:szCs w:val="20"/>
                <w:lang/>
              </w:rPr>
              <w:t>+6</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3</w:t>
            </w:r>
            <w:r>
              <w:rPr>
                <w:rFonts w:ascii="宋体" w:hAnsi="宋体" w:cs="宋体"/>
                <w:color w:val="000000"/>
                <w:kern w:val="0"/>
                <w:sz w:val="20"/>
                <w:szCs w:val="20"/>
                <w:lang/>
              </w:rPr>
              <w:t>1</w:t>
            </w:r>
          </w:p>
        </w:tc>
      </w:tr>
      <w:tr w:rsidR="004A2D4C" w:rsidTr="0086334D">
        <w:trPr>
          <w:trHeight w:val="409"/>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宋体" w:hAnsi="宋体" w:cs="宋体" w:hint="eastAsia"/>
                <w:color w:val="000000"/>
                <w:kern w:val="0"/>
                <w:sz w:val="20"/>
                <w:szCs w:val="20"/>
                <w:lang/>
              </w:rPr>
              <w:t>行政强制</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0</w:t>
            </w:r>
          </w:p>
        </w:tc>
        <w:tc>
          <w:tcPr>
            <w:tcW w:w="12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0</w:t>
            </w:r>
          </w:p>
        </w:tc>
        <w:tc>
          <w:tcPr>
            <w:tcW w:w="188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0</w:t>
            </w:r>
          </w:p>
        </w:tc>
      </w:tr>
      <w:tr w:rsidR="004A2D4C" w:rsidTr="0086334D">
        <w:trPr>
          <w:trHeight w:val="474"/>
          <w:jc w:val="center"/>
        </w:trPr>
        <w:tc>
          <w:tcPr>
            <w:tcW w:w="8140" w:type="dxa"/>
            <w:gridSpan w:val="6"/>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第二十条第（八）项</w:t>
            </w:r>
          </w:p>
        </w:tc>
      </w:tr>
      <w:tr w:rsidR="004A2D4C" w:rsidTr="0086334D">
        <w:trPr>
          <w:trHeight w:val="270"/>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信息内容</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本年增/减</w:t>
            </w:r>
          </w:p>
        </w:tc>
      </w:tr>
      <w:tr w:rsidR="004A2D4C" w:rsidTr="0086334D">
        <w:trPr>
          <w:trHeight w:val="551"/>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宋体" w:hAnsi="宋体" w:cs="宋体" w:hint="eastAsia"/>
                <w:color w:val="000000"/>
                <w:kern w:val="0"/>
                <w:sz w:val="20"/>
                <w:szCs w:val="20"/>
                <w:lang/>
              </w:rPr>
              <w:t>行政事业性收费</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52</w:t>
            </w:r>
          </w:p>
        </w:tc>
        <w:tc>
          <w:tcPr>
            <w:tcW w:w="3146" w:type="dxa"/>
            <w:gridSpan w:val="2"/>
            <w:tcBorders>
              <w:top w:val="nil"/>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-3</w:t>
            </w:r>
          </w:p>
        </w:tc>
      </w:tr>
      <w:tr w:rsidR="004A2D4C" w:rsidTr="0086334D">
        <w:trPr>
          <w:trHeight w:val="476"/>
          <w:jc w:val="center"/>
        </w:trPr>
        <w:tc>
          <w:tcPr>
            <w:tcW w:w="8140" w:type="dxa"/>
            <w:gridSpan w:val="6"/>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第二十条第（九）项</w:t>
            </w:r>
          </w:p>
        </w:tc>
      </w:tr>
      <w:tr w:rsidR="004A2D4C" w:rsidTr="0086334D">
        <w:trPr>
          <w:trHeight w:val="585"/>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信息内容</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采购总金额（万元，保留四位小数）</w:t>
            </w:r>
          </w:p>
        </w:tc>
      </w:tr>
      <w:tr w:rsidR="004A2D4C" w:rsidTr="0086334D">
        <w:trPr>
          <w:trHeight w:val="539"/>
          <w:jc w:val="center"/>
        </w:trPr>
        <w:tc>
          <w:tcPr>
            <w:tcW w:w="3113" w:type="dxa"/>
            <w:gridSpan w:val="2"/>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宋体" w:hAnsi="宋体" w:cs="宋体" w:hint="eastAsia"/>
                <w:color w:val="000000"/>
                <w:kern w:val="0"/>
                <w:sz w:val="20"/>
                <w:szCs w:val="20"/>
                <w:lang/>
              </w:rPr>
              <w:t>政府集中采购</w:t>
            </w:r>
          </w:p>
        </w:tc>
        <w:tc>
          <w:tcPr>
            <w:tcW w:w="188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sz w:val="20"/>
                <w:szCs w:val="20"/>
              </w:rPr>
            </w:pPr>
            <w:r>
              <w:rPr>
                <w:rFonts w:ascii="宋体" w:hAnsi="宋体" w:cs="宋体" w:hint="eastAsia"/>
                <w:color w:val="000000"/>
                <w:kern w:val="0"/>
                <w:sz w:val="20"/>
                <w:szCs w:val="20"/>
                <w:lang/>
              </w:rPr>
              <w:t>50</w:t>
            </w:r>
          </w:p>
        </w:tc>
        <w:tc>
          <w:tcPr>
            <w:tcW w:w="3146" w:type="dxa"/>
            <w:gridSpan w:val="2"/>
            <w:tcBorders>
              <w:top w:val="nil"/>
              <w:left w:val="nil"/>
              <w:bottom w:val="single" w:sz="8" w:space="0" w:color="auto"/>
              <w:right w:val="single" w:sz="8" w:space="0" w:color="000000"/>
            </w:tcBorders>
            <w:shd w:val="clear" w:color="auto" w:fill="E6F4FF"/>
            <w:tcMar>
              <w:top w:w="0" w:type="dxa"/>
              <w:left w:w="108" w:type="dxa"/>
              <w:bottom w:w="0" w:type="dxa"/>
              <w:right w:w="108" w:type="dxa"/>
            </w:tcMar>
            <w:vAlign w:val="center"/>
          </w:tcPr>
          <w:p w:rsidR="004A2D4C" w:rsidRDefault="004A2D4C" w:rsidP="0086334D">
            <w:pPr>
              <w:jc w:val="center"/>
              <w:rPr>
                <w:rFonts w:ascii="宋体"/>
                <w:color w:val="000000"/>
                <w:sz w:val="20"/>
                <w:szCs w:val="20"/>
              </w:rPr>
            </w:pPr>
            <w:r w:rsidRPr="00FE5F47">
              <w:rPr>
                <w:rFonts w:ascii="宋体" w:hint="eastAsia"/>
                <w:color w:val="000000"/>
                <w:sz w:val="20"/>
                <w:szCs w:val="20"/>
              </w:rPr>
              <w:t>1101.2428</w:t>
            </w:r>
          </w:p>
        </w:tc>
      </w:tr>
    </w:tbl>
    <w:p w:rsidR="004A2D4C" w:rsidRDefault="004A2D4C" w:rsidP="004A2D4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三、收到和处理政府信息公开申请情况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618"/>
        <w:gridCol w:w="854"/>
        <w:gridCol w:w="2086"/>
        <w:gridCol w:w="814"/>
        <w:gridCol w:w="755"/>
        <w:gridCol w:w="755"/>
        <w:gridCol w:w="814"/>
        <w:gridCol w:w="974"/>
        <w:gridCol w:w="712"/>
        <w:gridCol w:w="689"/>
      </w:tblGrid>
      <w:tr w:rsidR="004A2D4C" w:rsidTr="0086334D">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（本列数据的勾稽关系为：第一项加第二项之和，等于第三项加第四项之和）</w:t>
            </w:r>
          </w:p>
        </w:tc>
        <w:tc>
          <w:tcPr>
            <w:tcW w:w="5513" w:type="dxa"/>
            <w:gridSpan w:val="7"/>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申请人情况</w:t>
            </w:r>
          </w:p>
        </w:tc>
      </w:tr>
      <w:tr w:rsidR="004A2D4C" w:rsidTr="0086334D">
        <w:trPr>
          <w:jc w:val="center"/>
        </w:trPr>
        <w:tc>
          <w:tcPr>
            <w:tcW w:w="3558" w:type="dxa"/>
            <w:gridSpan w:val="3"/>
            <w:vMerge/>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1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自然人</w:t>
            </w:r>
          </w:p>
        </w:tc>
        <w:tc>
          <w:tcPr>
            <w:tcW w:w="4010"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法人或其他组织</w:t>
            </w:r>
          </w:p>
        </w:tc>
        <w:tc>
          <w:tcPr>
            <w:tcW w:w="689"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总计</w:t>
            </w:r>
          </w:p>
        </w:tc>
      </w:tr>
      <w:tr w:rsidR="004A2D4C" w:rsidTr="0086334D">
        <w:trPr>
          <w:jc w:val="center"/>
        </w:trPr>
        <w:tc>
          <w:tcPr>
            <w:tcW w:w="3558" w:type="dxa"/>
            <w:gridSpan w:val="3"/>
            <w:vMerge/>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1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商业企业</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科研机构</w:t>
            </w:r>
          </w:p>
        </w:tc>
        <w:tc>
          <w:tcPr>
            <w:tcW w:w="814"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社会公益组织</w:t>
            </w:r>
          </w:p>
        </w:tc>
        <w:tc>
          <w:tcPr>
            <w:tcW w:w="974"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法律服务机构</w:t>
            </w:r>
          </w:p>
        </w:tc>
        <w:tc>
          <w:tcPr>
            <w:tcW w:w="712"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其他</w:t>
            </w:r>
          </w:p>
        </w:tc>
        <w:tc>
          <w:tcPr>
            <w:tcW w:w="689"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r>
      <w:tr w:rsidR="004A2D4C" w:rsidTr="0086334D">
        <w:trPr>
          <w:jc w:val="center"/>
        </w:trPr>
        <w:tc>
          <w:tcPr>
            <w:tcW w:w="3558"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宋体" w:hAnsi="宋体" w:cs="宋体" w:hint="eastAsia"/>
                <w:color w:val="000000"/>
                <w:kern w:val="0"/>
                <w:sz w:val="20"/>
                <w:szCs w:val="20"/>
                <w:lang/>
              </w:rPr>
              <w:t>一、本年新收政府信息公开申请数量</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kern w:val="0"/>
                <w:szCs w:val="21"/>
              </w:rPr>
            </w:pPr>
            <w:r>
              <w:rPr>
                <w:rFonts w:ascii="宋体" w:hAnsi="宋体" w:hint="eastAsia"/>
                <w:color w:val="000000"/>
                <w:kern w:val="0"/>
                <w:szCs w:val="21"/>
              </w:rPr>
              <w:t>63</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4</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1</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1</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70</w:t>
            </w:r>
          </w:p>
        </w:tc>
      </w:tr>
      <w:tr w:rsidR="004A2D4C" w:rsidTr="0086334D">
        <w:trPr>
          <w:jc w:val="center"/>
        </w:trPr>
        <w:tc>
          <w:tcPr>
            <w:tcW w:w="3558"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宋体" w:hAnsi="宋体" w:cs="宋体" w:hint="eastAsia"/>
                <w:color w:val="000000"/>
                <w:kern w:val="0"/>
                <w:sz w:val="20"/>
                <w:szCs w:val="20"/>
                <w:lang/>
              </w:rPr>
              <w:t>二、上年结转政府信息公开申请数量</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kern w:val="0"/>
                <w:szCs w:val="21"/>
              </w:rPr>
            </w:pPr>
            <w:r>
              <w:rPr>
                <w:rFonts w:ascii="宋体" w:hAnsi="宋体" w:hint="eastAsia"/>
                <w:color w:val="000000"/>
                <w:kern w:val="0"/>
                <w:szCs w:val="21"/>
              </w:rPr>
              <w:t>8</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2</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10</w:t>
            </w:r>
          </w:p>
        </w:tc>
      </w:tr>
      <w:tr w:rsidR="004A2D4C" w:rsidTr="0086334D">
        <w:trPr>
          <w:jc w:val="center"/>
        </w:trPr>
        <w:tc>
          <w:tcPr>
            <w:tcW w:w="618"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三、本年度办理结果</w:t>
            </w: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color w:val="000000"/>
                <w:kern w:val="0"/>
                <w:sz w:val="20"/>
                <w:szCs w:val="20"/>
                <w:lang/>
              </w:rPr>
              <w:t>（一）予以公开</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kern w:val="0"/>
                <w:szCs w:val="21"/>
              </w:rPr>
            </w:pPr>
            <w:r>
              <w:rPr>
                <w:rFonts w:ascii="宋体" w:hAnsi="宋体" w:hint="eastAsia"/>
                <w:color w:val="000000"/>
                <w:kern w:val="0"/>
                <w:szCs w:val="21"/>
              </w:rPr>
              <w:t>21</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689"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21</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（二）部分公开（区分处理的，只计这一情形，不计其他情形）</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14</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1</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15</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（三）不予公开</w:t>
            </w: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1.属于国家秘密</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89"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2.其他法律行政法规禁止公开</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3.危及“三安全一稳定”</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4.保护第三方合法权益</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5.属于三类内部事务信息</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6.属于四类过程性信息</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1</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olor w:val="000000"/>
                <w:szCs w:val="21"/>
              </w:rPr>
              <w:t>1</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7.属于行政执法案卷</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1</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1</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olor w:val="000000"/>
                <w:szCs w:val="21"/>
              </w:rPr>
              <w:t>2</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8.属于行政查询事项</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olor w:val="000000"/>
                <w:szCs w:val="21"/>
              </w:rPr>
              <w:t>1</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olor w:val="000000"/>
                <w:szCs w:val="21"/>
              </w:rPr>
              <w:t>1</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（四）无法提供</w:t>
            </w: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1.本机关不掌握相关政府信息</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12</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5</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17</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2.没有现成信息需要另行制作</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8</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8</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3.补正后申请内容仍不明确</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2</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2</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（五）不予处理</w:t>
            </w: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1.信访举报投诉类申请</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olor w:val="000000"/>
                <w:szCs w:val="21"/>
              </w:rPr>
              <w:t>2</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olor w:val="000000"/>
                <w:szCs w:val="21"/>
              </w:rPr>
              <w:t>2</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2.重复申请</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3</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1</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4</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3.要求提供公开出版物</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4.无正当理由大量反复申请</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1</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1</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85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5.要求行政机关确认或重新出具已获取信息</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（六）其他处理</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r>
      <w:tr w:rsidR="004A2D4C" w:rsidTr="0086334D">
        <w:trPr>
          <w:jc w:val="center"/>
        </w:trPr>
        <w:tc>
          <w:tcPr>
            <w:tcW w:w="618"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楷体" w:eastAsia="楷体" w:hAnsi="楷体" w:cs="楷体" w:hint="eastAsia"/>
                <w:color w:val="000000"/>
                <w:kern w:val="0"/>
                <w:sz w:val="20"/>
                <w:szCs w:val="20"/>
                <w:lang/>
              </w:rPr>
              <w:t>（七）总计</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kern w:val="0"/>
                <w:szCs w:val="21"/>
              </w:rPr>
            </w:pPr>
            <w:r>
              <w:rPr>
                <w:rFonts w:ascii="宋体" w:hAnsi="宋体" w:hint="eastAsia"/>
                <w:color w:val="000000"/>
                <w:kern w:val="0"/>
                <w:szCs w:val="21"/>
              </w:rPr>
              <w:t>66</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6</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1</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1</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74</w:t>
            </w:r>
          </w:p>
        </w:tc>
      </w:tr>
      <w:tr w:rsidR="004A2D4C" w:rsidTr="0086334D">
        <w:trPr>
          <w:jc w:val="center"/>
        </w:trPr>
        <w:tc>
          <w:tcPr>
            <w:tcW w:w="3558"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left"/>
              <w:rPr>
                <w:color w:val="000000"/>
              </w:rPr>
            </w:pPr>
            <w:r>
              <w:rPr>
                <w:rFonts w:ascii="宋体" w:hAnsi="宋体" w:cs="宋体" w:hint="eastAsia"/>
                <w:color w:val="000000"/>
                <w:kern w:val="0"/>
                <w:sz w:val="20"/>
                <w:szCs w:val="20"/>
                <w:lang/>
              </w:rPr>
              <w:t>四、结转下年度继续办理</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5</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8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szCs w:val="21"/>
              </w:rPr>
            </w:pPr>
            <w:r>
              <w:rPr>
                <w:rFonts w:ascii="宋体" w:hAnsi="宋体" w:hint="eastAsia"/>
                <w:szCs w:val="21"/>
              </w:rPr>
              <w:t>0</w:t>
            </w:r>
          </w:p>
        </w:tc>
        <w:tc>
          <w:tcPr>
            <w:tcW w:w="97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0</w:t>
            </w:r>
          </w:p>
        </w:tc>
        <w:tc>
          <w:tcPr>
            <w:tcW w:w="71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1</w:t>
            </w:r>
          </w:p>
        </w:tc>
        <w:tc>
          <w:tcPr>
            <w:tcW w:w="689"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hint="eastAsia"/>
                <w:color w:val="000000"/>
                <w:szCs w:val="21"/>
              </w:rPr>
              <w:t>6</w:t>
            </w:r>
          </w:p>
        </w:tc>
      </w:tr>
    </w:tbl>
    <w:p w:rsidR="004A2D4C" w:rsidRDefault="004A2D4C" w:rsidP="004A2D4C">
      <w:pPr>
        <w:spacing w:line="560" w:lineRule="exact"/>
        <w:ind w:firstLineChars="200" w:firstLine="640"/>
        <w:rPr>
          <w:rFonts w:ascii="黑体" w:eastAsia="黑体" w:hAnsi="黑体" w:cs="黑体"/>
          <w:sz w:val="32"/>
          <w:szCs w:val="32"/>
        </w:rPr>
      </w:pPr>
    </w:p>
    <w:p w:rsidR="004A2D4C" w:rsidRDefault="004A2D4C" w:rsidP="004A2D4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4A2D4C" w:rsidTr="0086334D">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行政复议</w:t>
            </w:r>
          </w:p>
        </w:tc>
        <w:tc>
          <w:tcPr>
            <w:tcW w:w="5997" w:type="dxa"/>
            <w:gridSpan w:val="10"/>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行政诉讼</w:t>
            </w:r>
          </w:p>
        </w:tc>
      </w:tr>
      <w:tr w:rsidR="004A2D4C" w:rsidTr="0086334D">
        <w:trPr>
          <w:jc w:val="center"/>
        </w:trPr>
        <w:tc>
          <w:tcPr>
            <w:tcW w:w="604"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结果维持</w:t>
            </w:r>
          </w:p>
        </w:tc>
        <w:tc>
          <w:tcPr>
            <w:tcW w:w="60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结果纠正</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其他结果</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尚未审结</w:t>
            </w:r>
          </w:p>
        </w:tc>
        <w:tc>
          <w:tcPr>
            <w:tcW w:w="658"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总计</w:t>
            </w:r>
          </w:p>
        </w:tc>
        <w:tc>
          <w:tcPr>
            <w:tcW w:w="2970"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复议后起诉</w:t>
            </w:r>
          </w:p>
        </w:tc>
      </w:tr>
      <w:tr w:rsidR="004A2D4C" w:rsidTr="0086334D">
        <w:trPr>
          <w:jc w:val="center"/>
        </w:trPr>
        <w:tc>
          <w:tcPr>
            <w:tcW w:w="604" w:type="dxa"/>
            <w:vMerge/>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604" w:type="dxa"/>
            <w:vMerge/>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604"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604"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658" w:type="dxa"/>
            <w:vMerge/>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rPr>
                <w:rFonts w:ascii="宋体"/>
                <w:color w:val="000000"/>
                <w:sz w:val="24"/>
              </w:rPr>
            </w:pP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结果维持</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其他结果</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尚未审结</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总计</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结果维持</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其他结果</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尚未审结</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color w:val="000000"/>
              </w:rPr>
            </w:pPr>
            <w:r>
              <w:rPr>
                <w:rFonts w:ascii="宋体" w:hAnsi="宋体" w:cs="宋体" w:hint="eastAsia"/>
                <w:color w:val="000000"/>
                <w:kern w:val="0"/>
                <w:sz w:val="20"/>
                <w:szCs w:val="20"/>
                <w:lang/>
              </w:rPr>
              <w:t>总计</w:t>
            </w:r>
          </w:p>
        </w:tc>
      </w:tr>
      <w:tr w:rsidR="004A2D4C" w:rsidTr="0086334D">
        <w:trPr>
          <w:jc w:val="center"/>
        </w:trPr>
        <w:tc>
          <w:tcPr>
            <w:tcW w:w="604"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olor w:val="000000"/>
                <w:szCs w:val="21"/>
              </w:rPr>
              <w:t>3</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s="Calibri"/>
                <w:color w:val="000000"/>
                <w:kern w:val="0"/>
                <w:szCs w:val="21"/>
                <w:lang/>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s="Calibri"/>
                <w:color w:val="000000"/>
                <w:kern w:val="0"/>
                <w:szCs w:val="21"/>
                <w:lang/>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s="Calibri"/>
                <w:color w:val="000000"/>
                <w:kern w:val="0"/>
                <w:szCs w:val="21"/>
                <w:lang/>
              </w:rPr>
              <w:t>1</w:t>
            </w:r>
          </w:p>
        </w:tc>
        <w:tc>
          <w:tcPr>
            <w:tcW w:w="658"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s="Calibri"/>
                <w:color w:val="000000"/>
                <w:kern w:val="0"/>
                <w:szCs w:val="21"/>
                <w:lang/>
              </w:rPr>
              <w:t>4</w:t>
            </w: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1</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1</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olor w:val="000000"/>
                <w:szCs w:val="21"/>
              </w:rPr>
              <w:t>3</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hint="eastAsia"/>
                <w:color w:val="000000"/>
                <w:szCs w:val="21"/>
              </w:rPr>
              <w:t>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widowControl/>
              <w:jc w:val="center"/>
              <w:rPr>
                <w:rFonts w:ascii="宋体" w:hAnsi="宋体"/>
                <w:color w:val="000000"/>
                <w:szCs w:val="21"/>
              </w:rPr>
            </w:pPr>
            <w:r>
              <w:rPr>
                <w:rFonts w:ascii="宋体" w:hAnsi="宋体"/>
                <w:color w:val="000000"/>
                <w:szCs w:val="21"/>
              </w:rPr>
              <w:t>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4A2D4C" w:rsidRDefault="004A2D4C" w:rsidP="0086334D">
            <w:pPr>
              <w:jc w:val="center"/>
              <w:rPr>
                <w:rFonts w:ascii="宋体" w:hAnsi="宋体"/>
                <w:color w:val="000000"/>
                <w:szCs w:val="21"/>
              </w:rPr>
            </w:pPr>
            <w:r>
              <w:rPr>
                <w:rFonts w:ascii="宋体" w:hAnsi="宋体"/>
                <w:color w:val="000000"/>
                <w:szCs w:val="21"/>
              </w:rPr>
              <w:t>3</w:t>
            </w:r>
          </w:p>
        </w:tc>
      </w:tr>
    </w:tbl>
    <w:p w:rsidR="004A2D4C" w:rsidRDefault="004A2D4C" w:rsidP="004A2D4C">
      <w:pPr>
        <w:spacing w:line="560" w:lineRule="exact"/>
        <w:rPr>
          <w:rFonts w:ascii="仿宋_GB2312" w:eastAsia="仿宋_GB2312" w:hAnsi="仿宋_GB2312" w:cs="仿宋_GB2312"/>
          <w:sz w:val="32"/>
          <w:szCs w:val="32"/>
        </w:rPr>
      </w:pPr>
    </w:p>
    <w:p w:rsidR="004A2D4C" w:rsidRDefault="004A2D4C" w:rsidP="004A2D4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五、政府信息公开工作存在的主要问题及改进情况</w:t>
      </w:r>
    </w:p>
    <w:p w:rsidR="00B504A1" w:rsidRDefault="00B504A1" w:rsidP="004A2D4C">
      <w:pPr>
        <w:adjustRightInd w:val="0"/>
        <w:snapToGrid w:val="0"/>
        <w:spacing w:line="560" w:lineRule="exact"/>
        <w:ind w:firstLineChars="200" w:firstLine="643"/>
        <w:rPr>
          <w:rFonts w:ascii="仿宋_GB2312" w:eastAsia="仿宋_GB2312" w:hAnsi="仿宋" w:cs="仿宋_GB2312"/>
          <w:sz w:val="32"/>
          <w:szCs w:val="32"/>
        </w:rPr>
      </w:pPr>
      <w:r>
        <w:rPr>
          <w:rFonts w:ascii="仿宋_GB2312" w:eastAsia="仿宋_GB2312" w:hAnsi="仿宋" w:cs="仿宋_GB2312" w:hint="eastAsia"/>
          <w:b/>
          <w:sz w:val="32"/>
          <w:szCs w:val="32"/>
        </w:rPr>
        <w:t>1</w:t>
      </w:r>
      <w:r>
        <w:rPr>
          <w:rFonts w:ascii="仿宋_GB2312" w:eastAsia="仿宋_GB2312" w:hAnsi="仿宋" w:cs="仿宋_GB2312"/>
          <w:b/>
          <w:sz w:val="32"/>
          <w:szCs w:val="32"/>
        </w:rPr>
        <w:t>.</w:t>
      </w:r>
      <w:r w:rsidR="00283142" w:rsidRPr="00283142">
        <w:rPr>
          <w:rFonts w:ascii="仿宋_GB2312" w:eastAsia="仿宋_GB2312" w:hAnsi="仿宋" w:cs="仿宋_GB2312" w:hint="eastAsia"/>
          <w:sz w:val="32"/>
          <w:szCs w:val="32"/>
        </w:rPr>
        <w:t>政府信息公开</w:t>
      </w:r>
      <w:r w:rsidR="009C1BCB" w:rsidRPr="00690B54">
        <w:rPr>
          <w:rFonts w:ascii="仿宋_GB2312" w:eastAsia="仿宋_GB2312" w:hAnsi="仿宋" w:cs="仿宋_GB2312" w:hint="eastAsia"/>
          <w:sz w:val="32"/>
          <w:szCs w:val="32"/>
        </w:rPr>
        <w:t>工作</w:t>
      </w:r>
      <w:r w:rsidR="009C1BCB">
        <w:rPr>
          <w:rFonts w:ascii="仿宋_GB2312" w:eastAsia="仿宋_GB2312" w:hAnsi="仿宋" w:cs="仿宋_GB2312" w:hint="eastAsia"/>
          <w:sz w:val="32"/>
          <w:szCs w:val="32"/>
        </w:rPr>
        <w:t>的</w:t>
      </w:r>
      <w:r w:rsidR="00283142" w:rsidRPr="00283142">
        <w:rPr>
          <w:rFonts w:ascii="仿宋_GB2312" w:eastAsia="仿宋_GB2312" w:hAnsi="仿宋" w:cs="仿宋_GB2312"/>
          <w:sz w:val="32"/>
          <w:szCs w:val="32"/>
        </w:rPr>
        <w:t>培训</w:t>
      </w:r>
      <w:r>
        <w:rPr>
          <w:rFonts w:ascii="仿宋_GB2312" w:eastAsia="仿宋_GB2312" w:hAnsi="仿宋" w:cs="仿宋_GB2312" w:hint="eastAsia"/>
          <w:sz w:val="32"/>
          <w:szCs w:val="32"/>
        </w:rPr>
        <w:t>力度有待加强</w:t>
      </w:r>
      <w:r w:rsidR="00283142" w:rsidRPr="00283142">
        <w:rPr>
          <w:rFonts w:ascii="仿宋_GB2312" w:eastAsia="仿宋_GB2312" w:hAnsi="仿宋" w:cs="仿宋_GB2312"/>
          <w:sz w:val="32"/>
          <w:szCs w:val="32"/>
        </w:rPr>
        <w:t>。</w:t>
      </w:r>
      <w:r w:rsidR="009C1BCB">
        <w:rPr>
          <w:rFonts w:ascii="仿宋_GB2312" w:eastAsia="仿宋_GB2312" w:hAnsi="仿宋" w:cs="仿宋_GB2312" w:hint="eastAsia"/>
          <w:sz w:val="32"/>
          <w:szCs w:val="32"/>
        </w:rPr>
        <w:t>财政业务具有较强的专业性，作为财政部门与</w:t>
      </w:r>
      <w:r w:rsidR="009C1BCB" w:rsidRPr="007E5099">
        <w:rPr>
          <w:rFonts w:ascii="仿宋_GB2312" w:eastAsia="仿宋_GB2312" w:hAnsi="仿宋" w:cs="仿宋_GB2312" w:hint="eastAsia"/>
          <w:sz w:val="32"/>
          <w:szCs w:val="32"/>
        </w:rPr>
        <w:t>社会公众沟通交流的重要渠道，</w:t>
      </w:r>
      <w:r w:rsidR="0083329C">
        <w:rPr>
          <w:rFonts w:ascii="仿宋_GB2312" w:eastAsia="仿宋_GB2312" w:hAnsi="仿宋" w:cs="仿宋_GB2312" w:hint="eastAsia"/>
          <w:sz w:val="32"/>
          <w:szCs w:val="32"/>
        </w:rPr>
        <w:t>做好</w:t>
      </w:r>
      <w:r w:rsidR="0083329C" w:rsidRPr="007E5099">
        <w:rPr>
          <w:rFonts w:ascii="仿宋_GB2312" w:eastAsia="仿宋_GB2312" w:hAnsi="仿宋" w:cs="仿宋_GB2312" w:hint="eastAsia"/>
          <w:sz w:val="32"/>
          <w:szCs w:val="32"/>
        </w:rPr>
        <w:t>信息公开</w:t>
      </w:r>
      <w:r w:rsidR="0083329C">
        <w:rPr>
          <w:rFonts w:ascii="仿宋_GB2312" w:eastAsia="仿宋_GB2312" w:hAnsi="仿宋" w:cs="仿宋_GB2312" w:hint="eastAsia"/>
          <w:sz w:val="32"/>
          <w:szCs w:val="32"/>
        </w:rPr>
        <w:t>工作</w:t>
      </w:r>
      <w:r w:rsidR="009C1BCB">
        <w:rPr>
          <w:rFonts w:ascii="仿宋_GB2312" w:eastAsia="仿宋_GB2312" w:hAnsi="仿宋" w:cs="仿宋_GB2312" w:hint="eastAsia"/>
          <w:sz w:val="32"/>
          <w:szCs w:val="32"/>
        </w:rPr>
        <w:t>对于打造阳光财政具有重要意义。</w:t>
      </w:r>
      <w:r w:rsidR="00283142" w:rsidRPr="00283142">
        <w:rPr>
          <w:rFonts w:ascii="仿宋_GB2312" w:eastAsia="仿宋_GB2312" w:hAnsi="仿宋" w:cs="仿宋_GB2312"/>
          <w:sz w:val="32"/>
          <w:szCs w:val="32"/>
        </w:rPr>
        <w:t>下一步，将进一步加大培训力度，扩大培训覆盖范围</w:t>
      </w:r>
      <w:r w:rsidR="009C1BCB">
        <w:rPr>
          <w:rFonts w:ascii="仿宋_GB2312" w:eastAsia="仿宋_GB2312" w:hAnsi="仿宋" w:cs="仿宋_GB2312" w:hint="eastAsia"/>
          <w:sz w:val="32"/>
          <w:szCs w:val="32"/>
        </w:rPr>
        <w:t>，使</w:t>
      </w:r>
      <w:r w:rsidR="009C1BCB" w:rsidRPr="002C2A86">
        <w:rPr>
          <w:rFonts w:ascii="仿宋_GB2312" w:eastAsia="仿宋_GB2312" w:hAnsi="仿宋" w:cs="仿宋_GB2312" w:hint="eastAsia"/>
          <w:sz w:val="32"/>
          <w:szCs w:val="32"/>
        </w:rPr>
        <w:t>政府信息公开</w:t>
      </w:r>
      <w:r w:rsidR="009C1BCB">
        <w:rPr>
          <w:rFonts w:ascii="仿宋_GB2312" w:eastAsia="仿宋_GB2312" w:hAnsi="仿宋" w:cs="仿宋_GB2312" w:hint="eastAsia"/>
          <w:sz w:val="32"/>
          <w:szCs w:val="32"/>
        </w:rPr>
        <w:t>有关规定成为每一名财政工作人员所掌握的必备技能。</w:t>
      </w:r>
    </w:p>
    <w:p w:rsidR="004A2D4C" w:rsidRPr="00B504A1" w:rsidRDefault="00B504A1" w:rsidP="004A2D4C">
      <w:pPr>
        <w:adjustRightInd w:val="0"/>
        <w:snapToGrid w:val="0"/>
        <w:spacing w:line="560" w:lineRule="exact"/>
        <w:ind w:firstLineChars="200" w:firstLine="643"/>
        <w:rPr>
          <w:rFonts w:ascii="仿宋_GB2312" w:eastAsia="仿宋_GB2312" w:hAnsi="仿宋" w:cs="仿宋_GB2312"/>
          <w:sz w:val="32"/>
          <w:szCs w:val="32"/>
        </w:rPr>
      </w:pPr>
      <w:r>
        <w:rPr>
          <w:rFonts w:ascii="仿宋_GB2312" w:eastAsia="仿宋_GB2312" w:hAnsi="仿宋" w:cs="仿宋_GB2312" w:hint="eastAsia"/>
          <w:b/>
          <w:sz w:val="32"/>
          <w:szCs w:val="32"/>
        </w:rPr>
        <w:t>2</w:t>
      </w:r>
      <w:r>
        <w:rPr>
          <w:rFonts w:ascii="仿宋_GB2312" w:eastAsia="仿宋_GB2312" w:hAnsi="仿宋" w:cs="仿宋_GB2312"/>
          <w:b/>
          <w:sz w:val="32"/>
          <w:szCs w:val="32"/>
        </w:rPr>
        <w:t>.</w:t>
      </w:r>
      <w:r w:rsidR="00283142" w:rsidRPr="00283142">
        <w:rPr>
          <w:rFonts w:ascii="仿宋_GB2312" w:eastAsia="仿宋_GB2312" w:hAnsi="仿宋" w:cs="仿宋_GB2312"/>
          <w:sz w:val="32"/>
          <w:szCs w:val="32"/>
        </w:rPr>
        <w:t>政府信息公开工作</w:t>
      </w:r>
      <w:r w:rsidR="009C1BCB">
        <w:rPr>
          <w:rFonts w:ascii="仿宋_GB2312" w:eastAsia="仿宋_GB2312" w:hAnsi="仿宋" w:cs="仿宋_GB2312" w:hint="eastAsia"/>
          <w:sz w:val="32"/>
          <w:szCs w:val="32"/>
        </w:rPr>
        <w:t>的</w:t>
      </w:r>
      <w:r w:rsidR="00283142" w:rsidRPr="00283142">
        <w:rPr>
          <w:rFonts w:ascii="仿宋_GB2312" w:eastAsia="仿宋_GB2312" w:hAnsi="仿宋" w:cs="仿宋_GB2312"/>
          <w:sz w:val="32"/>
          <w:szCs w:val="32"/>
        </w:rPr>
        <w:t>研究深入</w:t>
      </w:r>
      <w:r>
        <w:rPr>
          <w:rFonts w:ascii="仿宋_GB2312" w:eastAsia="仿宋_GB2312" w:hAnsi="仿宋" w:cs="仿宋_GB2312" w:hint="eastAsia"/>
          <w:sz w:val="32"/>
          <w:szCs w:val="32"/>
        </w:rPr>
        <w:t>有待加</w:t>
      </w:r>
      <w:r w:rsidR="009C1BCB">
        <w:rPr>
          <w:rFonts w:ascii="仿宋_GB2312" w:eastAsia="仿宋_GB2312" w:hAnsi="仿宋" w:cs="仿宋_GB2312" w:hint="eastAsia"/>
          <w:sz w:val="32"/>
          <w:szCs w:val="32"/>
        </w:rPr>
        <w:t>强</w:t>
      </w:r>
      <w:r w:rsidR="00283142" w:rsidRPr="00283142">
        <w:rPr>
          <w:rFonts w:ascii="仿宋_GB2312" w:eastAsia="仿宋_GB2312" w:hAnsi="仿宋" w:cs="仿宋_GB2312"/>
          <w:sz w:val="32"/>
          <w:szCs w:val="32"/>
        </w:rPr>
        <w:t>。</w:t>
      </w:r>
      <w:r w:rsidR="009C1BCB">
        <w:rPr>
          <w:rFonts w:ascii="仿宋_GB2312" w:eastAsia="仿宋_GB2312" w:hAnsi="仿宋" w:cs="仿宋_GB2312" w:hint="eastAsia"/>
          <w:sz w:val="32"/>
          <w:szCs w:val="32"/>
        </w:rPr>
        <w:t>按照“以公开为原则，不公开为例外”要求，信息主动公开力度不断加大，各类已公开的财政信息和数据之间有很强的关联性，需</w:t>
      </w:r>
      <w:r w:rsidR="009C1BCB">
        <w:rPr>
          <w:rFonts w:ascii="仿宋_GB2312" w:eastAsia="仿宋_GB2312" w:hAnsi="仿宋" w:cs="仿宋_GB2312" w:hint="eastAsia"/>
          <w:sz w:val="32"/>
          <w:szCs w:val="32"/>
        </w:rPr>
        <w:lastRenderedPageBreak/>
        <w:t>要深入研究分析公开规律。</w:t>
      </w:r>
      <w:r w:rsidR="00283142" w:rsidRPr="00283142">
        <w:rPr>
          <w:rFonts w:ascii="仿宋_GB2312" w:eastAsia="仿宋_GB2312" w:hAnsi="仿宋" w:cs="仿宋_GB2312" w:hint="eastAsia"/>
          <w:sz w:val="32"/>
          <w:szCs w:val="32"/>
        </w:rPr>
        <w:t>下一步，将</w:t>
      </w:r>
      <w:r w:rsidR="004A2D4C" w:rsidRPr="00B504A1">
        <w:rPr>
          <w:rFonts w:ascii="仿宋_GB2312" w:eastAsia="仿宋_GB2312" w:hint="eastAsia"/>
          <w:sz w:val="32"/>
          <w:szCs w:val="32"/>
        </w:rPr>
        <w:t>积极开展研究，</w:t>
      </w:r>
      <w:r w:rsidR="009C1BCB">
        <w:rPr>
          <w:rFonts w:ascii="仿宋_GB2312" w:eastAsia="仿宋_GB2312" w:hint="eastAsia"/>
          <w:sz w:val="32"/>
          <w:szCs w:val="32"/>
        </w:rPr>
        <w:t>总结财政信息公开工作特点，</w:t>
      </w:r>
      <w:r w:rsidR="009C1BCB">
        <w:rPr>
          <w:rFonts w:ascii="仿宋_GB2312" w:eastAsia="仿宋_GB2312" w:hAnsi="仿宋" w:cs="仿宋_GB2312" w:hint="eastAsia"/>
          <w:sz w:val="32"/>
          <w:szCs w:val="32"/>
        </w:rPr>
        <w:t>不断提升政府信息公开工作水平，</w:t>
      </w:r>
      <w:r w:rsidR="00283142" w:rsidRPr="00283142">
        <w:rPr>
          <w:rFonts w:ascii="仿宋_GB2312" w:eastAsia="仿宋_GB2312" w:hAnsi="仿宋" w:cs="仿宋_GB2312" w:hint="eastAsia"/>
          <w:sz w:val="32"/>
          <w:szCs w:val="32"/>
        </w:rPr>
        <w:t>更好地</w:t>
      </w:r>
      <w:r w:rsidR="009C1BCB">
        <w:rPr>
          <w:rFonts w:ascii="仿宋_GB2312" w:eastAsia="仿宋_GB2312" w:hAnsi="仿宋" w:cs="仿宋_GB2312" w:hint="eastAsia"/>
          <w:sz w:val="32"/>
          <w:szCs w:val="32"/>
        </w:rPr>
        <w:t>为社会公众提供优质服务</w:t>
      </w:r>
      <w:r w:rsidR="00283142" w:rsidRPr="00283142">
        <w:rPr>
          <w:rFonts w:ascii="仿宋_GB2312" w:eastAsia="仿宋_GB2312" w:hAnsi="仿宋" w:cs="仿宋_GB2312"/>
          <w:sz w:val="32"/>
          <w:szCs w:val="32"/>
        </w:rPr>
        <w:t>。</w:t>
      </w:r>
    </w:p>
    <w:p w:rsidR="004A2D4C" w:rsidRDefault="004A2D4C" w:rsidP="004A2D4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六、其他需要报告的事项</w:t>
      </w:r>
    </w:p>
    <w:p w:rsidR="004A2D4C" w:rsidRPr="00B504A1" w:rsidRDefault="00283142" w:rsidP="004A2D4C">
      <w:pPr>
        <w:wordWrap w:val="0"/>
        <w:spacing w:line="560" w:lineRule="exact"/>
        <w:ind w:firstLineChars="200" w:firstLine="640"/>
        <w:rPr>
          <w:rFonts w:ascii="仿宋_GB2312" w:eastAsia="仿宋_GB2312" w:hAnsi="仿宋"/>
          <w:color w:val="000000"/>
          <w:sz w:val="32"/>
          <w:szCs w:val="32"/>
        </w:rPr>
      </w:pPr>
      <w:r w:rsidRPr="00283142">
        <w:rPr>
          <w:rFonts w:ascii="仿宋_GB2312" w:eastAsia="仿宋_GB2312" w:hAnsi="仿宋" w:hint="eastAsia"/>
          <w:color w:val="000000"/>
          <w:sz w:val="32"/>
          <w:szCs w:val="32"/>
        </w:rPr>
        <w:t>北京市人民政府门户网站（“首都之窗”）网址为</w:t>
      </w:r>
      <w:hyperlink r:id="rId7" w:history="1">
        <w:r w:rsidRPr="00283142">
          <w:rPr>
            <w:rStyle w:val="a3"/>
            <w:rFonts w:ascii="仿宋_GB2312" w:eastAsia="仿宋_GB2312" w:hAnsi="仿宋"/>
            <w:sz w:val="32"/>
            <w:szCs w:val="32"/>
          </w:rPr>
          <w:t>http://www.beijing.gov.cn/</w:t>
        </w:r>
      </w:hyperlink>
      <w:r w:rsidRPr="00283142">
        <w:rPr>
          <w:rFonts w:ascii="仿宋_GB2312" w:eastAsia="仿宋_GB2312" w:hAnsi="仿宋" w:hint="eastAsia"/>
          <w:color w:val="000000"/>
          <w:sz w:val="32"/>
          <w:szCs w:val="32"/>
        </w:rPr>
        <w:t>，北京市财政局网站网址为：</w:t>
      </w:r>
      <w:hyperlink r:id="rId8" w:history="1">
        <w:r w:rsidRPr="00283142">
          <w:rPr>
            <w:rStyle w:val="a3"/>
            <w:rFonts w:ascii="仿宋_GB2312" w:eastAsia="仿宋_GB2312" w:hAnsi="仿宋"/>
            <w:sz w:val="32"/>
            <w:szCs w:val="32"/>
          </w:rPr>
          <w:t>http://czj.beijing.gov.cn/</w:t>
        </w:r>
      </w:hyperlink>
      <w:r w:rsidRPr="00283142">
        <w:rPr>
          <w:rFonts w:ascii="仿宋_GB2312" w:eastAsia="仿宋_GB2312" w:hAnsi="仿宋" w:hint="eastAsia"/>
          <w:color w:val="000000"/>
          <w:sz w:val="32"/>
          <w:szCs w:val="32"/>
        </w:rPr>
        <w:t>，如需了解更多政府信息，请登录查询。</w:t>
      </w:r>
    </w:p>
    <w:p w:rsidR="004A2D4C" w:rsidRPr="00A91E3D" w:rsidRDefault="004A2D4C" w:rsidP="004A2D4C">
      <w:pPr>
        <w:jc w:val="center"/>
        <w:rPr>
          <w:rFonts w:ascii="仿宋_GB2312" w:eastAsia="仿宋_GB2312"/>
          <w:sz w:val="32"/>
          <w:szCs w:val="32"/>
        </w:rPr>
      </w:pPr>
    </w:p>
    <w:bookmarkEnd w:id="1"/>
    <w:p w:rsidR="007B4658" w:rsidRPr="004A2D4C" w:rsidRDefault="007B4658">
      <w:pPr>
        <w:rPr>
          <w:rFonts w:ascii="仿宋_GB2312" w:eastAsia="仿宋_GB2312"/>
          <w:sz w:val="32"/>
          <w:szCs w:val="32"/>
        </w:rPr>
      </w:pPr>
    </w:p>
    <w:sectPr w:rsidR="007B4658" w:rsidRPr="004A2D4C" w:rsidSect="00283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94" w:rsidRDefault="004F4394" w:rsidP="00B504A1">
      <w:r>
        <w:separator/>
      </w:r>
    </w:p>
  </w:endnote>
  <w:endnote w:type="continuationSeparator" w:id="0">
    <w:p w:rsidR="004F4394" w:rsidRDefault="004F4394" w:rsidP="00B504A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94" w:rsidRDefault="004F4394" w:rsidP="00B504A1">
      <w:r>
        <w:separator/>
      </w:r>
    </w:p>
  </w:footnote>
  <w:footnote w:type="continuationSeparator" w:id="0">
    <w:p w:rsidR="004F4394" w:rsidRDefault="004F4394" w:rsidP="00B50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67C23"/>
    <w:multiLevelType w:val="hybridMultilevel"/>
    <w:tmpl w:val="41329F06"/>
    <w:lvl w:ilvl="0" w:tplc="64BE6BCE">
      <w:start w:val="1"/>
      <w:numFmt w:val="japaneseCounting"/>
      <w:lvlText w:val="%1、"/>
      <w:lvlJc w:val="left"/>
      <w:pPr>
        <w:ind w:left="1360" w:hanging="720"/>
      </w:pPr>
      <w:rPr>
        <w:rFonts w:ascii="黑体" w:eastAsia="黑体" w:hAnsi="黑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明">
    <w15:presenceInfo w15:providerId="None" w15:userId="张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F79"/>
    <w:rsid w:val="002063F6"/>
    <w:rsid w:val="00214009"/>
    <w:rsid w:val="00283142"/>
    <w:rsid w:val="002D4D06"/>
    <w:rsid w:val="003A0338"/>
    <w:rsid w:val="003D4409"/>
    <w:rsid w:val="003D7C1A"/>
    <w:rsid w:val="004A2D4C"/>
    <w:rsid w:val="004F4394"/>
    <w:rsid w:val="0070071D"/>
    <w:rsid w:val="00781C82"/>
    <w:rsid w:val="00797F79"/>
    <w:rsid w:val="007B4658"/>
    <w:rsid w:val="00816062"/>
    <w:rsid w:val="0083329C"/>
    <w:rsid w:val="0085573C"/>
    <w:rsid w:val="0086334D"/>
    <w:rsid w:val="009C1BCB"/>
    <w:rsid w:val="00B504A1"/>
    <w:rsid w:val="00B578B8"/>
    <w:rsid w:val="00C85812"/>
    <w:rsid w:val="00DD3D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1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2D4C"/>
    <w:rPr>
      <w:color w:val="000000"/>
      <w:u w:val="none"/>
    </w:rPr>
  </w:style>
  <w:style w:type="paragraph" w:styleId="a4">
    <w:name w:val="header"/>
    <w:basedOn w:val="a"/>
    <w:link w:val="Char"/>
    <w:rsid w:val="00B504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B504A1"/>
    <w:rPr>
      <w:kern w:val="2"/>
      <w:sz w:val="18"/>
      <w:szCs w:val="18"/>
    </w:rPr>
  </w:style>
  <w:style w:type="paragraph" w:styleId="a5">
    <w:name w:val="footer"/>
    <w:basedOn w:val="a"/>
    <w:link w:val="Char0"/>
    <w:rsid w:val="00B504A1"/>
    <w:pPr>
      <w:tabs>
        <w:tab w:val="center" w:pos="4153"/>
        <w:tab w:val="right" w:pos="8306"/>
      </w:tabs>
      <w:snapToGrid w:val="0"/>
      <w:jc w:val="left"/>
    </w:pPr>
    <w:rPr>
      <w:sz w:val="18"/>
      <w:szCs w:val="18"/>
    </w:rPr>
  </w:style>
  <w:style w:type="character" w:customStyle="1" w:styleId="Char0">
    <w:name w:val="页脚 Char"/>
    <w:link w:val="a5"/>
    <w:rsid w:val="00B504A1"/>
    <w:rPr>
      <w:kern w:val="2"/>
      <w:sz w:val="18"/>
      <w:szCs w:val="18"/>
    </w:rPr>
  </w:style>
  <w:style w:type="paragraph" w:styleId="a6">
    <w:name w:val="Balloon Text"/>
    <w:basedOn w:val="a"/>
    <w:link w:val="Char1"/>
    <w:rsid w:val="002D4D06"/>
    <w:rPr>
      <w:sz w:val="18"/>
      <w:szCs w:val="18"/>
    </w:rPr>
  </w:style>
  <w:style w:type="character" w:customStyle="1" w:styleId="Char1">
    <w:name w:val="批注框文本 Char"/>
    <w:basedOn w:val="a0"/>
    <w:link w:val="a6"/>
    <w:rsid w:val="002D4D0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j.beijing.gov.cn/" TargetMode="External"/><Relationship Id="rId3" Type="http://schemas.openxmlformats.org/officeDocument/2006/relationships/settings" Target="settings.xml"/><Relationship Id="rId7" Type="http://schemas.openxmlformats.org/officeDocument/2006/relationships/hyperlink" Target="http://www.beijing.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1577</Words>
  <Characters>1689</Characters>
  <Application>Microsoft Office Word</Application>
  <DocSecurity>0</DocSecurity>
  <Lines>337</Lines>
  <Paragraphs>362</Paragraphs>
  <ScaleCrop>false</ScaleCrop>
  <Company>WwW.YlmF.CoM</Company>
  <LinksUpToDate>false</LinksUpToDate>
  <CharactersWithSpaces>2904</CharactersWithSpaces>
  <SharedDoc>false</SharedDoc>
  <HLinks>
    <vt:vector size="12" baseType="variant">
      <vt:variant>
        <vt:i4>7995453</vt:i4>
      </vt:variant>
      <vt:variant>
        <vt:i4>3</vt:i4>
      </vt:variant>
      <vt:variant>
        <vt:i4>0</vt:i4>
      </vt:variant>
      <vt:variant>
        <vt:i4>5</vt:i4>
      </vt:variant>
      <vt:variant>
        <vt:lpwstr>http://czj.beijing.gov.cn/</vt:lpwstr>
      </vt:variant>
      <vt:variant>
        <vt:lpwstr/>
      </vt:variant>
      <vt:variant>
        <vt:i4>7536688</vt:i4>
      </vt:variant>
      <vt:variant>
        <vt:i4>0</vt:i4>
      </vt:variant>
      <vt:variant>
        <vt:i4>0</vt:i4>
      </vt:variant>
      <vt:variant>
        <vt:i4>5</vt:i4>
      </vt:variant>
      <vt:variant>
        <vt:lpwstr>http://www.beijing.gov.cn/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张明</dc:creator>
  <cp:keywords/>
  <cp:lastModifiedBy>信息发布员</cp:lastModifiedBy>
  <cp:revision>4</cp:revision>
  <dcterms:created xsi:type="dcterms:W3CDTF">2020-01-22T02:07:00Z</dcterms:created>
  <dcterms:modified xsi:type="dcterms:W3CDTF">2020-01-22T02:28:00Z</dcterms:modified>
</cp:coreProperties>
</file>