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  <w:t>北京市财政局</w:t>
      </w: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2022年度部门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整体绩效评价报告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北京市财政局</w:t>
      </w:r>
    </w:p>
    <w:p>
      <w:pPr>
        <w:ind w:left="0" w:leftChars="0" w:firstLine="0" w:firstLineChars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2023年5月</w:t>
      </w:r>
    </w:p>
    <w:p>
      <w:pPr>
        <w:spacing w:line="560" w:lineRule="exact"/>
        <w:jc w:val="center"/>
        <w:outlineLvl w:val="0"/>
        <w:rPr>
          <w:rFonts w:hint="eastAsia" w:ascii="方正小标宋简体" w:eastAsia="方正小标宋简体"/>
          <w:sz w:val="36"/>
          <w:szCs w:val="36"/>
          <w:lang w:eastAsia="zh-CN"/>
        </w:rPr>
      </w:pPr>
    </w:p>
    <w:p>
      <w:pPr>
        <w:spacing w:line="560" w:lineRule="exact"/>
        <w:jc w:val="center"/>
        <w:outlineLvl w:val="0"/>
        <w:rPr>
          <w:rFonts w:hint="eastAsia" w:ascii="方正小标宋简体" w:eastAsia="方正小标宋简体"/>
          <w:sz w:val="36"/>
          <w:szCs w:val="36"/>
          <w:lang w:eastAsia="zh-CN"/>
        </w:rPr>
      </w:pPr>
    </w:p>
    <w:p>
      <w:pPr>
        <w:spacing w:line="560" w:lineRule="exact"/>
        <w:jc w:val="center"/>
        <w:outlineLvl w:val="0"/>
        <w:rPr>
          <w:rFonts w:hint="eastAsia" w:ascii="方正小标宋简体" w:eastAsia="方正小标宋简体"/>
          <w:sz w:val="36"/>
          <w:szCs w:val="36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outlineLvl w:val="0"/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color w:val="auto"/>
          <w:sz w:val="36"/>
          <w:szCs w:val="36"/>
          <w:highlight w:val="none"/>
          <w:lang w:eastAsia="zh-CN"/>
        </w:rPr>
        <w:t>北京市财政局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  <w:t>部门整体绩效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  <w:lang w:eastAsia="zh-CN"/>
        </w:rPr>
        <w:t>评价</w:t>
      </w:r>
      <w:r>
        <w:rPr>
          <w:rFonts w:hint="eastAsia" w:ascii="方正小标宋简体" w:eastAsia="方正小标宋简体"/>
          <w:color w:val="auto"/>
          <w:sz w:val="36"/>
          <w:szCs w:val="36"/>
          <w:highlight w:val="none"/>
        </w:rPr>
        <w:t>报告</w:t>
      </w:r>
    </w:p>
    <w:p>
      <w:pPr>
        <w:jc w:val="both"/>
        <w:rPr>
          <w:rFonts w:ascii="仿宋_GB2312"/>
          <w:color w:val="auto"/>
          <w:szCs w:val="30"/>
          <w:highlight w:val="none"/>
        </w:rPr>
      </w:pPr>
    </w:p>
    <w:p>
      <w:pPr>
        <w:jc w:val="center"/>
        <w:rPr>
          <w:rFonts w:ascii="仿宋_GB2312"/>
          <w:color w:val="auto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一、部门概况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（一）机构设置及职责工作任务情况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color w:val="auto"/>
          <w:sz w:val="3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22"/>
          <w:highlight w:val="none"/>
        </w:rPr>
        <w:t>部门机构设置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根据市委办公厅、市政府办公厅《关于印发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&lt;北京市财政局职能配置、内设机构和人员编制的规定&gt;的通知》（京办字〔2019〕85号）以及市委编办《关于市财政局所属事业单位改革有关事项的批复》（京编发〔2021〕138号）,北京市财政局（简称市财政局）是市政府组成部门，为正局级，共32个内设机构、12个直属事业单位。下属2个预算单位，即北京市财政局本级行政、北京市财政局本级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职责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工作任务情况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市财政局贯彻落实党中央关于财经工作的方针政策、决策部署和市委有关工作要求，在履行职责过程中坚持和加强党对财政工作的集中统一领导。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主要职责是：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贯彻落实国家关于财政、财务、会计管理的法律法规、规章和政策并监督执行。起草本市相关地方性法规草案、政府规章草案。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拟订本市财政发展规划、政策和改革方案并组织实施。分析预测全市收入形势，参与制定重大经济政策，提出运用财税政策对经济运行实施调控和综合平衡本市财力的建议。拟订并执行市与区、国家与企业的分配政策，完善鼓励公益事业发展的财税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管理市级各项财政收支。编制年度本市预决算草案并组织执行。组织制定经费开支标准、定额，审核批复部门（单位）的年度预决算。受市政府委托，向市人民代表大会及其常务委员会报告财政预算、执行和决算等情况。完善转移支付制度。负责市级政府预决算公开。负责办理和监督市级财政的经济发展支出、市级政府性投资项目的财政拨款，参与拟订本市基建投资有关政策，制定基建财务管理制度。承担预算评审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负责组织起草本市有关税收地方性法规草案、政府规章草案及实施办法和税收政策调整方案。提出关税和进口税收政策的建议，参与制定关税政策的相关研究工作。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按分工负责本市政府非税收入管理。负责政府性基金管理，按规定管理行政事业性收费。管理财政票据。制定彩票管理有关办法，监管彩票市场，按规定管理彩票资金。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组织制定本市国库管理制度、国库集中收付制度，指导和监督本市国库业务，负责国库现金管理的有关工作。制定政府财务报告编制办法并组织实施。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拟订本市政府采购政策制度并监督管理。承担市级部门行政执法用车、特种专业技术用车定编工作。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贯彻执行政府国内债务管理制度和政策。依法制定本市政府债务管理制度和办法。编制各区政府债余额限额计划。依法依规拟订政府防范债务风险的措施。管理外国政府和国际金融组织对本市的贷款业务。对本市金融机构实施财务监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牵头编制国有资产管理情况报告。根据市政府授权，集中统一履行本市国有金融资本出资人职责。拟订行政事业单位国有资产管理规章制度并组织实施，制定需要全市统一规定的开支标准和支出政策。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审核并汇总编制全市国有资本经营预决算草案，制定国有资本经营预算的制度和办法，收取市级企业国有资本收益。组织实施企业财务制度，参与拟订企业国有资产管理相关制度。负责财政预算内行政事业单位和社会团体的非贸易外汇的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负责审核并汇总编制全市社会保险基金预决算草案，会同有关部门拟订有关资金（基金）的财务管理制度，承担社会保险基金财政监管工作，承担北京市社会保障基金管理有关工作。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负责管理本市会计工作，监督和规范会计行为，执行国家统一的会计制度，指导和监督注册会计师和会计师事务所的业务，指导和管理社会审计。依法管理资产评估有关工作。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负责全面实施预算绩效管理工作，研究完善本市财政支出绩效评价制度和评价体系。反映财政收支管理中的重大问题。提出加强财政管理的政策性建议。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完成市委、市政府交办的其他事项。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  <w:lang w:eastAsia="zh-CN"/>
        </w:rPr>
        <w:t>（二）</w:t>
      </w: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部门整体绩效目标设立情况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部门整体支出绩效目标是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依据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市委办公厅、市政府办公厅《关于印发</w:t>
      </w:r>
      <w:r>
        <w:rPr>
          <w:rFonts w:ascii="仿宋_GB2312" w:hAnsi="仿宋" w:eastAsia="仿宋_GB2312" w:cs="Times New Roman"/>
          <w:color w:val="auto"/>
          <w:sz w:val="32"/>
          <w:szCs w:val="32"/>
          <w:highlight w:val="none"/>
        </w:rPr>
        <w:t>&lt;北京市财政局职能配置、内设机构和人员编制的规定&gt;的通知》（京办字〔2019〕85号）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确定的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机构设置及主要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职责，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结合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局内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中长期规划、年度工作计划、政策要求以及年度主要工作任务设立，反映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使用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部门预算资金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在年度履职中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</w:rPr>
        <w:t>预期达到的总体产出和效果。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/>
          <w:color w:val="auto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eastAsia="zh-CN"/>
        </w:rPr>
        <w:t>目标设立从财政收入、财政支出、预算管理、绩效管理、依法理财等五个方面出发，旨在以习近平新时代中国特色社会主义思想为指导，紧密围绕市委、市政府中心工作和重点任务，聚力增效落实积极财政政策，加强财政资源统筹和调控引导，加大优化支出结构力度，强化预算约束和绩效管理，有效防范财政运行风险，更好发挥财政在全市治理中的基础和重要支柱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二</w:t>
      </w:r>
      <w:r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当年</w:t>
      </w:r>
      <w:r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  <w:t>预算执行情况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全年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预算数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为43,379.13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其中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，基本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预算数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为26,788.56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项目支出预算数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16,590.57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资金总体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42,510.57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万元，其中，基本支出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26,352.63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万元，项目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支出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16,157.94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预算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执行率为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" w:eastAsia="zh-CN"/>
        </w:rPr>
        <w:t>98.00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三</w:t>
      </w:r>
      <w:r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  <w:t>、整体绩效目标实现情况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（一）产出完成情况分析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围绕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财政收入、财政支出、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预算管理、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绩效管理、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依法理财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等五个方面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开展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工作，截至202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年底，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各项指标均按年初设置指标值完成。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财政收入方面。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2022年全市一般公共预算收入完成5714.3亿元，扣除留抵退税因素后同口径增长2.6%。税收收入占比85.2%，收入质量保持全国第一。全市土地收入完成2223.5亿元，超额完成任务目标。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财政支出方面。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强化财政统筹平衡，做好疫情防控等重点资金保障，进一步优化支出结构，不断提升保重点、保大事的能力，畅通疫情防控资金和急需物资政府采购“绿色通道”，增强首都重大战略任务资金保障，集中财力足额保障了党的二十大、冬奥会等大事要事，全力支持了民生保障、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" w:eastAsia="zh-CN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国际交往、公共安全、科技创新、生态涵养区建设等领域资金需求。加大财政调控力度，统筹安排资金支持我市稳经济45条等系列措施实施，密集出台小微企业“六税两费”减免、阶段性缓缴社会保险费等一揽子政策，为企业和群众让利超2000亿元。积极争取政府债券资金，发挥政府投资基金引导作用，财政出资放大至5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预算管理方面。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强化“零基预算”理念，以项目轻重缓急和成熟度为依据安排预算，抓好委托外包、编外用工等重点领域资金管理。推进预算管理一体化系统建设，将支出政策、分行业分领域的绩效指标数据库、资产配置标准、政府购买服务负面清单等内容全部嵌入一体化系统，提升预算编制科学化规范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绩效管理方面。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绩效管理重心从项目评价向重大政策评价转变，对46项民生政策、中央直达资金项目、市对区专项转移支付、政府固定资产投资开展绩效评价，提出标准调整、分类优化等改进建议，新审批基建项目超概算情况得到有效控制。与主管部门密切合作，推进行政运行、教育、农林水、文化体育、住房保障、公共交通、供热等重点领域降本增效，形成系列成本核定基线和定额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2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依法理财方面。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按照财政部部署要求，聚焦减税降费政策、政府过紧日子等7个领域，开展财经秩序专项整治，对发现的问题立行立改、一抓到底。提升财政监督治理效果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扎实推进依法行政依法理财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。强化财会监督源头治理，开展重大财税政策落实、三公经费、会计信息、两师行业执业质量等重点领域监督检查，加强财政库款运行预警监控，及时发现问题、化解风险。联合印发“五类监督”贯通协同工作办法，建立健全联合专项治理、线索移送、结果共享等工作机制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牵头接受人大、审计、巡视、纪检等多轮次“体检”，我市财政收入真实性、预算管理规范性、风险可控性始终保持较高水平。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（二）效果</w:t>
      </w:r>
      <w:r>
        <w:rPr>
          <w:rFonts w:ascii="楷体_GB2312" w:eastAsia="楷体_GB2312"/>
          <w:color w:val="auto"/>
          <w:sz w:val="32"/>
          <w:szCs w:val="32"/>
          <w:highlight w:val="none"/>
        </w:rPr>
        <w:t>实现情况分析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年部门整体支出坚持稳中求进总基调，积极财政政策加力提效促经济稳增长，实现了财政平稳运行和可持续发展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；坚持以人民为中心的发展思想，统筹优化财政支出结构，做好民生经费保障，完善了大事要事综合保障机制；坚持艰苦奋斗勤俭干事业，持续推进降本增效，强化了节约型效益型导向的财政支出管理，构建预算绩效管理北京模式；坚持向改革要动力向管理要效能，深化预算管理改革，发挥财政专业化阵地作用，强化了在首都现代化治理中的职能作用；坚持将守住底线红线作为重要责任，持续加强政府债务管理，积极防范化解财政风险；坚持以政治建设为统领，切实履行全面从严治党责任，为财政事业高质量发展提供坚强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四</w:t>
      </w:r>
      <w:r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  <w:t>、预算管理</w:t>
      </w: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情况分</w:t>
      </w:r>
      <w:r>
        <w:rPr>
          <w:rFonts w:ascii="黑体" w:hAnsi="黑体" w:eastAsia="黑体" w:cs="宋体"/>
          <w:color w:val="auto"/>
          <w:kern w:val="0"/>
          <w:sz w:val="32"/>
          <w:szCs w:val="32"/>
          <w:highlight w:val="none"/>
        </w:rPr>
        <w:t>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（一）财务管理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1.财务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根据自身业务开展情况制定了财务管理、预算管理、资金支出管理、资产管理、采购管理、合同管理、项目支出预算管理、会计管理、公务卡管理等方面管理制度，实施内部控制管理，各项制度相对健全，为部门资金使用管理提供有效制度保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2.资金使用合规性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和安全性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资金使用严格按照国家财经法规和局内财务管理制度、资金支出管理办法规定以及有关专项资金管理办法的规定执行。不存在截留、挤占、挪用、虚列支出等情况，资金使用合规性较好。在资金使用监管上，能够落实重大支出集体研究制度，年度资金分配履行了相关报批手续。预算执行中，严格按照政府采购及局内采购管理制度和流程执行。同时，为了进一步深化国库集中支付改革，规范市财政局财政授权支付业务，减少现金结算，提高财政资金支付透明度，加强预算执行监督管理，制定了《北京市财政局局内公务卡管理暂行办法》，并设置了公务卡强制结算目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会计核算方面，专款专用，项目资金在统一会计账簿中按照项目明细单独核算，会计凭证资料保存完整、装订规范。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会计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  <w:highlight w:val="none"/>
        </w:rPr>
        <w:t>基础信息完善性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9"/>
        <w:rPr>
          <w:rFonts w:hint="eastAsia"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市财政局根据自身业务核算特点，制定了《北京市财政局会计管理暂行办法》《北京市财政局会计档案管理办法》等制度，保障基础数据信息和会计信息资料真实、完整、准确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（二）资产管理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根据《行政单位国有资产管理暂行办法》《事业单位国有资产管理暂行办法》和《行政事业单位固定资产管理暂行办法》及财政部相关规定，结合单位实际情况，市财政局制定了《北京市财政局局内固定资产管理办法》《北京市财政局局内软件资产登记管理暂行规定》和《北京市财政局局内公用办公设备集中管理办法》《北京市财政局办公用品、办公设备配件及耗材管理办法》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明确了资产管理部门及职责、资产配置、资产管理、资产处置、资产出租出借等相关要求，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规范和加强了局机关各部门的资产管理工作，维护了国有资产的安全完整、合理配置和有效利用。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（三）绩效</w:t>
      </w:r>
      <w:r>
        <w:rPr>
          <w:rFonts w:ascii="楷体_GB2312" w:eastAsia="楷体_GB2312"/>
          <w:color w:val="auto"/>
          <w:sz w:val="32"/>
          <w:szCs w:val="32"/>
          <w:highlight w:val="none"/>
        </w:rPr>
        <w:t>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为更好地开展预算绩效管理工作，市财政局围绕全市总体工作方案，明确了预算绩效管理工作的原则、组织机构及职责分工、主要工作任务、工作要求及保障措施等，稳步推进预算绩效管理工作。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根据《北京市财政局关于开展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全面预算绩效管理工作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的通知》（京财绩效〔202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669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号）文件要求，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市财政局积极落实全过程预算绩效管理工作。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一是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对纳入202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年部门预算管理的所有填报绩效目标的项目开展绩效自评工作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，实现绩效自评“全覆盖”，选定“评审工作经费”项目开展重点评价，同步开展部门整体绩效评价工作。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二是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继续开展成本预算绩效分析，充分利用成本绩效分析形成的成果，强化支出标准对预算核定的约束作用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三是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组织对纳入绩效管理的所有项目上半年执行情况实施绩效监控，并按要求选取局内重点项目进行全面分析。对项目的绩效目标实现程度、项目预算资金拨款到位情况及预算执行情况，进行绩效监控，提高预算执行效力和项目资金使用效率。对偏离绩效目标项目和预期无效项目及时采取措施予以纠正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四是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加强继续目标管理，依据我局年支出情况，参照中央主管部门分行业分领域核心指标设置情况，对照预算一体化系统中的绩效指标库，梳理我局预算支出核心绩效指标及绩效标准，建立了我局的绩效指标和标准体系，并按要求进行动态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真正实现预算编制有目标、执行过程有监控、预算完成有评价，不断强化绩效理念并逐步融入预算编制、执行、公开全过程，将降成本、提效益的理念贯穿于各项工作当中</w:t>
      </w:r>
      <w:r>
        <w:rPr>
          <w:rFonts w:hint="eastAsia" w:ascii="仿宋" w:hAnsi="仿宋" w:eastAsia="仿宋_GB2312"/>
          <w:color w:val="auto"/>
          <w:sz w:val="32"/>
          <w:szCs w:val="2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（四）结转结余率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年北京市财政局全年预算数为43,379.13万元，年末结余结转金额为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868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56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万元，结余结转率2%。本年结转结余率较上年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0.85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1"/>
        <w:rPr>
          <w:rFonts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（五）部门</w:t>
      </w:r>
      <w:r>
        <w:rPr>
          <w:rFonts w:ascii="楷体_GB2312" w:eastAsia="楷体_GB2312"/>
          <w:color w:val="auto"/>
          <w:sz w:val="32"/>
          <w:szCs w:val="32"/>
          <w:highlight w:val="none"/>
        </w:rPr>
        <w:t>预决算差异率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年年初预算数为42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"/>
        </w:rPr>
        <w:t>,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193.6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万元，决算数为 42,510.57万元，差额为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" w:eastAsia="zh-CN"/>
        </w:rPr>
        <w:t>316.96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万元, 占年初预算批复总额的0.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highlight w:val="none"/>
          <w:lang w:val="en"/>
        </w:rPr>
        <w:t>75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%。部门预决算差异率远低于市级平均差异率（28.3%）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部门预决算差异率控制情况较好，预算管理水平不断提升。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ascii="黑体" w:hAns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五、总体</w:t>
      </w:r>
      <w:r>
        <w:rPr>
          <w:rFonts w:ascii="黑体" w:hAnsi="黑体" w:eastAsia="黑体"/>
          <w:color w:val="auto"/>
          <w:sz w:val="32"/>
          <w:szCs w:val="32"/>
          <w:highlight w:val="none"/>
        </w:rPr>
        <w:t>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楷体_GB2312" w:eastAsia="楷体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（一）评价</w:t>
      </w:r>
      <w:r>
        <w:rPr>
          <w:rFonts w:ascii="楷体_GB2312" w:eastAsia="楷体_GB2312"/>
          <w:color w:val="auto"/>
          <w:sz w:val="32"/>
          <w:szCs w:val="32"/>
          <w:highlight w:val="none"/>
        </w:rPr>
        <w:t>得分</w:t>
      </w: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年度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highlight w:val="none"/>
          <w:lang w:val="en-US" w:eastAsia="zh-CN"/>
        </w:rPr>
        <w:t>市财政局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整体支出绩效评价综合得分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96.60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分，其中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当年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预算执行情况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19.60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分、整体绩效目标实现情况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57.00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分、预算管理情况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20.00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分，绩效评定结论为“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”。具体情况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详见下表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。</w:t>
      </w:r>
    </w:p>
    <w:tbl>
      <w:tblPr>
        <w:tblStyle w:val="7"/>
        <w:tblpPr w:leftFromText="180" w:rightFromText="180" w:vertAnchor="text" w:horzAnchor="page" w:tblpX="1828" w:tblpY="743"/>
        <w:tblOverlap w:val="never"/>
        <w:tblW w:w="8485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shd w:val="clear" w:color="auto" w:fill="C0C0C0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3079"/>
        <w:gridCol w:w="2411"/>
        <w:gridCol w:w="2995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atLeast"/>
        </w:trPr>
        <w:tc>
          <w:tcPr>
            <w:tcW w:w="3079" w:type="dxa"/>
            <w:tcBorders>
              <w:top w:val="single" w:color="FFFFFF" w:sz="4" w:space="0"/>
              <w:left w:val="single" w:color="FFFFFF" w:sz="4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评价内容</w:t>
            </w:r>
          </w:p>
        </w:tc>
        <w:tc>
          <w:tcPr>
            <w:tcW w:w="2411" w:type="dxa"/>
            <w:tcBorders>
              <w:top w:val="single" w:color="FFFFFF" w:sz="4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分值</w:t>
            </w:r>
          </w:p>
        </w:tc>
        <w:tc>
          <w:tcPr>
            <w:tcW w:w="2995" w:type="dxa"/>
            <w:tcBorders>
              <w:top w:val="single" w:color="FFFFFF" w:sz="4" w:space="0"/>
              <w:left w:val="single" w:color="FFFFFF" w:sz="6" w:space="0"/>
              <w:bottom w:val="single" w:color="FFFFFF" w:sz="6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评价得分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3" w:hRule="atLeast"/>
        </w:trPr>
        <w:tc>
          <w:tcPr>
            <w:tcW w:w="3079" w:type="dxa"/>
            <w:tcBorders>
              <w:top w:val="single" w:color="FFFFFF" w:sz="6" w:space="0"/>
              <w:left w:val="single" w:color="FFFFFF" w:sz="4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pStyle w:val="3"/>
              <w:adjustRightInd w:val="0"/>
              <w:snapToGrid w:val="0"/>
              <w:spacing w:before="120" w:after="60" w:line="30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当年预算执行情况</w:t>
            </w:r>
          </w:p>
        </w:tc>
        <w:tc>
          <w:tcPr>
            <w:tcW w:w="2411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  <w:tc>
          <w:tcPr>
            <w:tcW w:w="299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19.60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shd w:val="clear" w:color="auto" w:fill="C0C0C0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3" w:hRule="atLeast"/>
        </w:trPr>
        <w:tc>
          <w:tcPr>
            <w:tcW w:w="3079" w:type="dxa"/>
            <w:tcBorders>
              <w:top w:val="single" w:color="FFFFFF" w:sz="6" w:space="0"/>
              <w:left w:val="single" w:color="FFFFFF" w:sz="4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整体绩效目标实现情况</w:t>
            </w:r>
          </w:p>
        </w:tc>
        <w:tc>
          <w:tcPr>
            <w:tcW w:w="2411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60.00</w:t>
            </w:r>
          </w:p>
        </w:tc>
        <w:tc>
          <w:tcPr>
            <w:tcW w:w="2995" w:type="dxa"/>
            <w:tcBorders>
              <w:top w:val="single" w:color="FFFFFF" w:sz="6" w:space="0"/>
              <w:left w:val="single" w:color="FFFFFF" w:sz="6" w:space="0"/>
              <w:bottom w:val="single" w:color="FFFFFF" w:sz="6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57.00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shd w:val="clear" w:color="auto" w:fill="C0C0C0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8" w:hRule="atLeast"/>
        </w:trPr>
        <w:tc>
          <w:tcPr>
            <w:tcW w:w="3079" w:type="dxa"/>
            <w:tcBorders>
              <w:top w:val="single" w:color="FFFFFF" w:sz="6" w:space="0"/>
              <w:left w:val="single" w:color="FFFFFF" w:sz="4" w:space="0"/>
              <w:bottom w:val="single" w:color="FFFFFF" w:sz="4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预算管理情况</w:t>
            </w:r>
          </w:p>
        </w:tc>
        <w:tc>
          <w:tcPr>
            <w:tcW w:w="2411" w:type="dxa"/>
            <w:tcBorders>
              <w:top w:val="single" w:color="FFFFFF" w:sz="6" w:space="0"/>
              <w:left w:val="single" w:color="FFFFFF" w:sz="6" w:space="0"/>
              <w:bottom w:val="single" w:color="FFFFFF" w:sz="4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  <w:tc>
          <w:tcPr>
            <w:tcW w:w="2995" w:type="dxa"/>
            <w:tcBorders>
              <w:top w:val="single" w:color="FFFFFF" w:sz="6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shd w:val="clear" w:color="auto" w:fill="C0C0C0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8" w:hRule="atLeast"/>
        </w:trPr>
        <w:tc>
          <w:tcPr>
            <w:tcW w:w="307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综合得分</w:t>
            </w:r>
          </w:p>
        </w:tc>
        <w:tc>
          <w:tcPr>
            <w:tcW w:w="2411" w:type="dxa"/>
            <w:tcBorders>
              <w:top w:val="single" w:color="FFFFFF" w:sz="4" w:space="0"/>
              <w:left w:val="single" w:color="FFFFFF" w:sz="6" w:space="0"/>
              <w:bottom w:val="single" w:color="FFFFFF" w:sz="4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100.00</w:t>
            </w:r>
          </w:p>
        </w:tc>
        <w:tc>
          <w:tcPr>
            <w:tcW w:w="299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  <w:lang w:val="en-US" w:eastAsia="zh-CN"/>
              </w:rPr>
              <w:t>96.60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shd w:val="clear" w:color="auto" w:fill="C0C0C0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98" w:hRule="atLeast"/>
        </w:trPr>
        <w:tc>
          <w:tcPr>
            <w:tcW w:w="307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before="120" w:after="60" w:line="300" w:lineRule="auto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绩效评定级别</w:t>
            </w:r>
          </w:p>
        </w:tc>
        <w:tc>
          <w:tcPr>
            <w:tcW w:w="5406" w:type="dxa"/>
            <w:gridSpan w:val="2"/>
            <w:tcBorders>
              <w:top w:val="single" w:color="FFFFFF" w:sz="4" w:space="0"/>
              <w:left w:val="single" w:color="FFFFFF" w:sz="6" w:space="0"/>
              <w:bottom w:val="single" w:color="FFFFFF" w:sz="4" w:space="0"/>
              <w:right w:val="single" w:color="FFFFFF" w:sz="4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优</w:t>
            </w:r>
          </w:p>
        </w:tc>
      </w:tr>
    </w:tbl>
    <w:p>
      <w:pPr>
        <w:spacing w:line="600" w:lineRule="exact"/>
        <w:ind w:left="102" w:leftChars="0" w:hanging="102" w:hangingChars="32"/>
        <w:jc w:val="center"/>
        <w:rPr>
          <w:rFonts w:hint="default" w:ascii="楷体_GB2312" w:eastAsia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部门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</w:rPr>
        <w:t>整体支出绩效评价</w:t>
      </w: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结论一览表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楷体_GB2312" w:eastAsia="楷体_GB2312"/>
          <w:color w:val="auto"/>
          <w:sz w:val="32"/>
          <w:szCs w:val="32"/>
          <w:highlight w:val="none"/>
        </w:rPr>
      </w:pPr>
      <w:r>
        <w:rPr>
          <w:rFonts w:hint="eastAsia" w:ascii="楷体_GB2312" w:eastAsia="楷体_GB2312"/>
          <w:color w:val="auto"/>
          <w:sz w:val="32"/>
          <w:szCs w:val="32"/>
          <w:highlight w:val="none"/>
        </w:rPr>
        <w:t>（二）存在的问题及原因分析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部分项目绩效指标存在受疫情及政策等原因的影响，启动实施时间延迟的情况，实施计划性有待提升；个别项目年度指标值较实际完成值设定偏低，指标设定科学性有待加强。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outlineLvl w:val="0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color w:val="auto"/>
          <w:kern w:val="0"/>
          <w:sz w:val="32"/>
          <w:szCs w:val="32"/>
          <w:highlight w:val="none"/>
        </w:rPr>
        <w:t>六、措施建议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建议在编制绩效指标时，加强需求调研及项目前期论证，对项目实施过程中可能出现的潜在风险合理预判，督促项目实施进度，切实保障项目有序、有效运行；明确各主要工作任务的功能特性，围绕核心工作，从中概括、提炼出最能反映项目预期实现程度的关键性指标，将其确定为相应的绩效指标，并通过收集资料相关基础数据，确定绩效标准，结合预期进展，预计投入等情况，确定绩效指标的具体数值。</w:t>
      </w:r>
      <w:bookmarkStart w:id="0" w:name="_GoBack"/>
      <w:bookmarkEnd w:id="0"/>
    </w:p>
    <w:sectPr>
      <w:footerReference r:id="rId4" w:type="default"/>
      <w:pgSz w:w="11906" w:h="16838"/>
      <w:pgMar w:top="1911" w:right="1474" w:bottom="1882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Noto Sans Syriac Eastern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E0APQwgEAAGkDAAAOAAAAZHJz&#10;L2Uyb0RvYy54bWytU81qGzEQvgf6DkL3etcuCWaxHFpCSiGkgSQPIGslr0B/jGTv+gWSN8ipl9zz&#10;XH6OjGSvU9pb6UU7oxl9M983s4vLwRqylRC1d4xOJzUl0gnfardm9PHh+vOckpi4a7nxTjK6k5Fe&#10;Lj+dLfrQyJnvvGklEARxsekDo11KoamqKDppeZz4IB0GlQfLE7qwrlrgPaJbU83q+qLqPbQBvJAx&#10;4u3VIUiXBV8pKdJPpaJMxDCKvaVyQjlX+ayWC96sgYdOi2Mb/B+6sFw7LHqCuuKJkw3ov6CsFuCj&#10;V2kivK28UlrIwgHZTOs/2Nx3PMjCBcWJ4SRT/H+w4nZ7B0S3ODtKHLc4ov3L8/7X2/71iUyzPH2I&#10;DWbdB8xLwzc/MJpgI8dQxPtMfFBg8xcpEUxBrXcnfeWQiMDL6Xw2n9cYEhgbHSxRfTwPENN36S3J&#10;BqOAAyy68u1NTIfUMSVXc/5aG1OGaBzpGb34cl6XB6cIghuXc2VZhyNMZnVoPVtpWA1Hqivf7pBp&#10;jyvBqMOdpcT8cKh43p7RgNFYjcYmgF532LHiJuaZcYT/uknYX2k7VzlAI93s4DwL8ePu5YX53S9Z&#10;H3/I8h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CzSVju0AAAAAUBAAAPAAAAAAAAAAEAIAAAADgA&#10;AABkcnMvZG93bnJldi54bWxQSwECFAAUAAAACACHTuJAxNAD0MIBAABpAwAADgAAAAAAAAABACAA&#10;AAA1AQAAZHJzL2Uyb0RvYy54bWxQSwUGAAAAAAYABgBZAQAAa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6F9A18"/>
    <w:rsid w:val="13FB3EAF"/>
    <w:rsid w:val="1FEF42D1"/>
    <w:rsid w:val="3BFF733F"/>
    <w:rsid w:val="55CF1C75"/>
    <w:rsid w:val="55DF084D"/>
    <w:rsid w:val="59FF87CE"/>
    <w:rsid w:val="5BEF01CA"/>
    <w:rsid w:val="6FEDF74F"/>
    <w:rsid w:val="767F3035"/>
    <w:rsid w:val="77FFBDFC"/>
    <w:rsid w:val="78BF7056"/>
    <w:rsid w:val="7C77B8D7"/>
    <w:rsid w:val="7EADD508"/>
    <w:rsid w:val="7EB3F0A4"/>
    <w:rsid w:val="7EF6A610"/>
    <w:rsid w:val="7F6754CA"/>
    <w:rsid w:val="7FB78CCF"/>
    <w:rsid w:val="7FBE8907"/>
    <w:rsid w:val="7FEF54A5"/>
    <w:rsid w:val="AA3BF02A"/>
    <w:rsid w:val="B76D107F"/>
    <w:rsid w:val="B9FFE08E"/>
    <w:rsid w:val="BFDD2A33"/>
    <w:rsid w:val="BFDD3452"/>
    <w:rsid w:val="BFFF8F89"/>
    <w:rsid w:val="C5B63C33"/>
    <w:rsid w:val="CEFF7995"/>
    <w:rsid w:val="DBFD8AB5"/>
    <w:rsid w:val="DD7EAED2"/>
    <w:rsid w:val="E3773DB9"/>
    <w:rsid w:val="E7D6ED8A"/>
    <w:rsid w:val="EBB4B6C7"/>
    <w:rsid w:val="EDD9A1F6"/>
    <w:rsid w:val="EDDB463A"/>
    <w:rsid w:val="EDFFA5F8"/>
    <w:rsid w:val="F1DDEACA"/>
    <w:rsid w:val="F3AFC4DF"/>
    <w:rsid w:val="F6FEE71D"/>
    <w:rsid w:val="F7E7A13B"/>
    <w:rsid w:val="FBAB102B"/>
    <w:rsid w:val="FBDE8A1A"/>
    <w:rsid w:val="FDBF6539"/>
    <w:rsid w:val="FE6F9A18"/>
    <w:rsid w:val="FEB3D5CB"/>
    <w:rsid w:val="FFBD8EAF"/>
    <w:rsid w:val="FFE1C8E8"/>
    <w:rsid w:val="FFE6E76A"/>
    <w:rsid w:val="FFFFE1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 w:val="0"/>
      <w:spacing w:beforeAutospacing="1" w:afterAutospacing="1"/>
      <w:ind w:firstLine="720" w:firstLineChars="200"/>
      <w:outlineLvl w:val="1"/>
    </w:pPr>
    <w:rPr>
      <w:rFonts w:ascii="Cambria" w:hAnsi="Cambria" w:eastAsia="黑体" w:cs="Times New Roman"/>
      <w:b/>
      <w:bCs/>
      <w:kern w:val="0"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link w:val="9"/>
    <w:qFormat/>
    <w:uiPriority w:val="0"/>
    <w:pPr>
      <w:widowControl w:val="0"/>
      <w:spacing w:before="0" w:line="240" w:lineRule="auto"/>
      <w:ind w:firstLine="640" w:firstLineChars="200"/>
      <w:jc w:val="both"/>
    </w:pPr>
    <w:rPr>
      <w:szCs w:val="22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0"/>
      <w:lang w:val="en-US" w:eastAsia="zh-CN" w:bidi="ar-SA"/>
    </w:rPr>
  </w:style>
  <w:style w:type="character" w:customStyle="1" w:styleId="9">
    <w:name w:val="正文文本 Char"/>
    <w:link w:val="5"/>
    <w:qFormat/>
    <w:uiPriority w:val="0"/>
    <w:rPr>
      <w:rFonts w:ascii="仿宋_GB2312" w:hAnsi="仿宋_GB2312" w:eastAsia="仿宋_GB2312" w:cs="Times New Roman"/>
      <w:kern w:val="2"/>
      <w:sz w:val="36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2023-05-12T14:16:00Z</dcterms:created>
  <dc:creator>user</dc:creator>
  <cp:lastModifiedBy>user</cp:lastModifiedBy>
  <cp:lastPrinted>2023-05-19T19:08:00Z</cp:lastPrinted>
  <dcterms:modified xsi:type="dcterms:W3CDTF">2023-06-06T15:05:07Z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