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综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2023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1578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号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>
      <w:pPr>
        <w:pStyle w:val="7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中央专项彩票公益金支持</w:t>
      </w:r>
      <w:r>
        <w:rPr>
          <w:rFonts w:hint="eastAsia"/>
          <w:color w:val="auto"/>
          <w:highlight w:val="none"/>
          <w:lang w:eastAsia="zh-CN"/>
        </w:rPr>
        <w:t>北京市</w:t>
      </w:r>
      <w:r>
        <w:rPr>
          <w:rFonts w:hint="eastAsia"/>
          <w:color w:val="auto"/>
          <w:highlight w:val="none"/>
          <w:lang w:eastAsia="zh-CN"/>
        </w:rPr>
        <w:br w:type="textWrapping"/>
      </w:r>
      <w:r>
        <w:rPr>
          <w:rFonts w:hint="eastAsia"/>
          <w:color w:val="auto"/>
          <w:highlight w:val="none"/>
        </w:rPr>
        <w:t>社会公益事业发展资金管理办法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第一章　总则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为规范和加强中央专项彩票公益金支持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北京市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社会公益事业发展资金管理，提高资金使用效益，根据《中华人民共和国预算法》《中华人民共和国预算法实施条例》《彩票管理条例》《彩票管理条例实施细则》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《中央专项彩票公益金支持地方社会公益事业发展资金管理办法》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等有关规定，制定本办法。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本办法所称中央专项彩票公益金支持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北京市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社会公益事业发展资金（以下简称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社会公益事业资金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），是指财政部下达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北京市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统筹安排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用于补助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北京市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社会公益事业的中央专项彩票公益金。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第二章　资金支持范围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社会公益事业资金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主要用于支持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对中国革命作出重大贡献、经济社会发展相对落后、财政较为困难的革命老区县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力争2022-2025年支持范围覆盖到北京市所有革命老区，包括：门头沟区、延庆区、平谷区、房山区、密云区、怀柔区、顺义区、昌平区、通州区、大兴区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社会公益事业资金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应坚持国家彩票公益属性和社会责任，用于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北京市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社会公益事业发展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包括聚焦文体事业、养老服务、生态环保等。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资金不得用于以下方面的支出：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（一）因公出国（境）、公务接待、公务用车购置及运行等支出；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（二）行政事业单位的基本支出，如基本工资、津贴、补贴、奖金、绩效工资等人员支出及水电费等日常公用支出；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（三）对外投资和以营利为目的的其他支出；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（四）建设楼堂馆所及职工住宅；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（五）与社会公益事业无关的支出，以及其他国家规定禁止列支的支出。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社会公益事业资金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纳入政府性基金预算管理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与一般公共预算、地方留成彩票公益金统筹衔接，避免资金重复安排。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第三章　组织实施管理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统筹安排，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按照财政部下达的资金额度、使用方向、分配原则和绩效目标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，建立项目库、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筛选项目、制定方案、下达预算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市财政局会同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部门提出年度支持主题，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指导相关区开展项目征集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财政局会同区级部门从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公益事业发展实际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出发，聚焦主题、突出重点、适当兼顾，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优先挑选群众急需、公益性强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、反响较大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，充分论证后报市财政局纳入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。项目库实行滚动管理。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入库项目应提交项目方案，包括项目内容、资金规模、实施进度、保障措施、效益分析等，并同时提交绩效目标表。以前年度入库项目可根据实际需要更新项目方案和绩效目标表。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市财政局会同市级主管部门组织项目筛选。可根据需要通过会商、评议等方式择优筛选支持项目。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市财政局提出年度资金申请，制定区域绩效目标，报财政部。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负责完成拟支持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评审。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市财政局根据财政部下达的预算指标及审核后的区域绩效目标，研究制定年度资金分配方案。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在规定时限内正式分解下达预算和绩效目标，同时将下达预算文件和分解后的绩效目标报财政部备案，并抄送财政部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监管局。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应当严格按照批复的预算执行，在预算执行过程中发生项目变更、终止，确需调剂预算的，应当按照项目申报程序报批。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资金支付按照国库集中支付制度有关规定执行。资金使用过程中涉及政府采购的，按照政府采购有关规定执行。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应当加强资金管理，加快预算执行进度，督促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及时组织开展项目竣工验收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，及时向市财政局报送资金执行情况。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凡资金超过两年未使用的，由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收回或核减以后年度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第四章　绩效管理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应当按照全面实施预算绩效管理的有关规定，加强绩效管理，严格审核绩效目标，做好绩效评价，并强化绩效评价结果应用，定期总结资金管理使用情况和成效，提高资金使用效益。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月底前向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上年度绩效评价报告。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向财政部报送本行政区域内上年度绩效评价报告。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市、区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局和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应强化绩效评价结果应用，切实抓好问题整改，将绩效评价结果及有关问题整改情况作为完善政策、安排预算和改进管理的重要依据。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第五章　宣传公告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每年4月底前向财政部报送上年度使用资金的规模、资助项目、执行情况等，同时抄送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财政部北京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监管局。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第二十条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于每年6月底前，向社会公告上年度使用资金的总体规模、资助项目、执行情况、支出绩效目标及完成情况等，接受社会监督。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第二十一条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于每年6月底前，向社会公告上年度具体项目的资金规模、支出内容、执行情况和实际效果等，接受社会监督。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第二十二条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社会公益事业资金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资助的基本建设设施、设备或社会公益活动等，应当以显著方式标明“彩票公益金资助—中国福利彩票和中国体育彩票”标识。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第六章　监督检查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第二十三条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市、区财政局应当加强社会公益事业资金的监督。市、区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当加强项目建设监督和管理，推动项目全生命周期跟踪监管。分配、管理、使用社会公益事业资金的部门、单位和个人，应当依法接受审计、纪检监察等部门的监督，对发现的问题，应当及时制定整改措施并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第二十四条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市、区财政局和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及其工作人员在资金分配、使用管理工作中存在违反规定分配资金，不按规定向社会公告的行为，以及其他滥用职权、玩忽职守、徇私舞弊等违纪违法行为的，依法依规追究相应责任。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第七章　附则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本办法由北京市财政局负责解释，自公布之日起施行。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BA8C8"/>
    <w:multiLevelType w:val="singleLevel"/>
    <w:tmpl w:val="DFBBA8C8"/>
    <w:lvl w:ilvl="0" w:tentative="0">
      <w:start w:val="1"/>
      <w:numFmt w:val="chineseCounting"/>
      <w:suff w:val="nothing"/>
      <w:lvlText w:val="第%1条  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zA1MDBjODQ1NzQ0OTlmNTdkYjhlNzBjMjg4MGYifQ=="/>
  </w:docVars>
  <w:rsids>
    <w:rsidRoot w:val="00000000"/>
    <w:rsid w:val="0B6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40" w:line="276" w:lineRule="auto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公文标题"/>
    <w:basedOn w:val="4"/>
    <w:next w:val="8"/>
    <w:qFormat/>
    <w:uiPriority w:val="0"/>
    <w:pPr>
      <w:spacing w:before="50" w:beforeLines="50" w:after="100" w:afterLines="100" w:line="640" w:lineRule="exact"/>
    </w:pPr>
    <w:rPr>
      <w:rFonts w:ascii="Arial" w:hAnsi="Arial" w:eastAsia="方正小标宋简体"/>
      <w:b w:val="0"/>
      <w:sz w:val="44"/>
    </w:rPr>
  </w:style>
  <w:style w:type="paragraph" w:customStyle="1" w:styleId="8">
    <w:name w:val="公文正文"/>
    <w:basedOn w:val="1"/>
    <w:qFormat/>
    <w:uiPriority w:val="0"/>
    <w:pPr>
      <w:spacing w:line="54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2023-09-18T11:04:14Z</dcterms:created>
  <dc:creator>EDZ</dc:creator>
  <cp:lastModifiedBy>凹凸曼</cp:lastModifiedBy>
  <dcterms:modified xsi:type="dcterms:W3CDTF">2023-09-18T11:04:16Z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FFED67AA5FC14AB993B2B9DD7AF39E5D_12</vt:lpwstr>
  </property>
</Properties>
</file>