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rPr>
        <w:t>京财</w:t>
      </w:r>
      <w:bookmarkStart w:id="0" w:name="jingcai"/>
      <w:r>
        <w:rPr>
          <w:rFonts w:hint="eastAsia" w:ascii="CESI黑体-GB2312" w:hAnsi="CESI黑体-GB2312" w:eastAsia="CESI黑体-GB2312" w:cs="CESI黑体-GB2312"/>
          <w:sz w:val="32"/>
          <w:lang w:eastAsia="zh-CN"/>
        </w:rPr>
        <w:t>科文</w:t>
      </w:r>
      <w:bookmarkEnd w:id="0"/>
      <w:r>
        <w:rPr>
          <w:rFonts w:hint="eastAsia" w:ascii="CESI黑体-GB2312" w:hAnsi="CESI黑体-GB2312" w:eastAsia="CESI黑体-GB2312" w:cs="CESI黑体-GB2312"/>
          <w:sz w:val="32"/>
        </w:rPr>
        <w:t>〔</w:t>
      </w:r>
      <w:bookmarkStart w:id="1" w:name="nianfen"/>
      <w:r>
        <w:rPr>
          <w:rFonts w:hint="eastAsia" w:ascii="CESI黑体-GB2312" w:hAnsi="CESI黑体-GB2312" w:eastAsia="CESI黑体-GB2312" w:cs="CESI黑体-GB2312"/>
          <w:sz w:val="32"/>
          <w:lang w:eastAsia="zh-CN"/>
        </w:rPr>
        <w:t>2023</w:t>
      </w:r>
      <w:bookmarkEnd w:id="1"/>
      <w:r>
        <w:rPr>
          <w:rFonts w:hint="eastAsia" w:ascii="CESI黑体-GB2312" w:hAnsi="CESI黑体-GB2312" w:eastAsia="CESI黑体-GB2312" w:cs="CESI黑体-GB2312"/>
          <w:sz w:val="32"/>
        </w:rPr>
        <w:t>〕</w:t>
      </w:r>
      <w:bookmarkStart w:id="2" w:name="bumenhao"/>
      <w:r>
        <w:rPr>
          <w:rFonts w:hint="eastAsia" w:ascii="CESI黑体-GB2312" w:hAnsi="CESI黑体-GB2312" w:eastAsia="CESI黑体-GB2312" w:cs="CESI黑体-GB2312"/>
          <w:sz w:val="32"/>
          <w:lang w:eastAsia="zh-CN"/>
        </w:rPr>
        <w:t>1611</w:t>
      </w:r>
      <w:bookmarkEnd w:id="2"/>
      <w:r>
        <w:rPr>
          <w:rFonts w:hint="eastAsia" w:ascii="CESI黑体-GB2312" w:hAnsi="CESI黑体-GB2312" w:eastAsia="CESI黑体-GB2312" w:cs="CESI黑体-GB2312"/>
          <w:sz w:val="32"/>
        </w:rPr>
        <w:t>号</w:t>
      </w: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ESI黑体-GB2312" w:hAnsi="CESI黑体-GB2312" w:eastAsia="CESI黑体-GB2312" w:cs="CESI黑体-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市属高校院所、医疗卫生机构制度清单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sz w:val="40"/>
          <w:szCs w:val="44"/>
        </w:rPr>
      </w:pPr>
    </w:p>
    <w:p>
      <w:pPr>
        <w:pStyle w:val="7"/>
        <w:numPr>
          <w:numId w:val="0"/>
        </w:numPr>
        <w:ind w:leftChars="0"/>
        <w:rPr>
          <w:rFonts w:ascii="黑体" w:hAnsi="黑体" w:eastAsia="黑体"/>
          <w:sz w:val="32"/>
          <w:szCs w:val="36"/>
        </w:rPr>
      </w:pPr>
      <w:r>
        <w:rPr>
          <w:rFonts w:hint="eastAsia" w:ascii="黑体" w:hAnsi="黑体" w:eastAsia="黑体"/>
          <w:sz w:val="32"/>
          <w:szCs w:val="36"/>
          <w:lang w:eastAsia="zh-CN"/>
        </w:rPr>
        <w:t>一、</w:t>
      </w:r>
      <w:r>
        <w:rPr>
          <w:rFonts w:hint="eastAsia" w:ascii="黑体" w:hAnsi="黑体" w:eastAsia="黑体"/>
          <w:sz w:val="32"/>
          <w:szCs w:val="36"/>
        </w:rPr>
        <w:t>对照中央及我市关于科研经费管理改革文件要求，单位应制定和完善的相关制度清单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43"/>
        <w:gridCol w:w="2976"/>
        <w:gridCol w:w="8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tcPr>
          <w:p>
            <w:pPr>
              <w:jc w:val="center"/>
              <w:rPr>
                <w:rFonts w:hint="eastAsia" w:ascii="仿宋_GB2312" w:hAnsi="黑体" w:eastAsia="仿宋_GB2312"/>
                <w:b/>
                <w:bCs/>
                <w:sz w:val="24"/>
                <w:szCs w:val="24"/>
              </w:rPr>
            </w:pPr>
          </w:p>
        </w:tc>
        <w:tc>
          <w:tcPr>
            <w:tcW w:w="1843" w:type="dxa"/>
          </w:tcPr>
          <w:p>
            <w:pPr>
              <w:jc w:val="center"/>
              <w:rPr>
                <w:rFonts w:hint="eastAsia" w:ascii="仿宋_GB2312" w:hAnsi="黑体" w:eastAsia="仿宋_GB2312"/>
                <w:b/>
                <w:bCs/>
                <w:sz w:val="24"/>
                <w:szCs w:val="24"/>
              </w:rPr>
            </w:pPr>
            <w:r>
              <w:rPr>
                <w:rFonts w:hint="eastAsia" w:ascii="仿宋_GB2312" w:hAnsi="黑体" w:eastAsia="仿宋_GB2312"/>
                <w:b/>
                <w:bCs/>
                <w:sz w:val="24"/>
                <w:szCs w:val="24"/>
              </w:rPr>
              <w:t>制度名称</w:t>
            </w:r>
          </w:p>
        </w:tc>
        <w:tc>
          <w:tcPr>
            <w:tcW w:w="2976" w:type="dxa"/>
          </w:tcPr>
          <w:p>
            <w:pPr>
              <w:jc w:val="center"/>
              <w:rPr>
                <w:rFonts w:hint="eastAsia" w:ascii="仿宋_GB2312" w:hAnsi="黑体" w:eastAsia="仿宋_GB2312"/>
                <w:b/>
                <w:bCs/>
                <w:sz w:val="24"/>
                <w:szCs w:val="24"/>
              </w:rPr>
            </w:pPr>
            <w:r>
              <w:rPr>
                <w:rFonts w:hint="eastAsia" w:ascii="仿宋_GB2312" w:hAnsi="黑体" w:eastAsia="仿宋_GB2312"/>
                <w:b/>
                <w:bCs/>
                <w:sz w:val="24"/>
                <w:szCs w:val="24"/>
              </w:rPr>
              <w:t>政策依据</w:t>
            </w:r>
          </w:p>
        </w:tc>
        <w:tc>
          <w:tcPr>
            <w:tcW w:w="8283" w:type="dxa"/>
          </w:tcPr>
          <w:p>
            <w:pPr>
              <w:jc w:val="center"/>
              <w:rPr>
                <w:rFonts w:hint="eastAsia" w:ascii="仿宋_GB2312" w:hAnsi="黑体" w:eastAsia="仿宋_GB2312"/>
                <w:b/>
                <w:bCs/>
                <w:sz w:val="24"/>
                <w:szCs w:val="24"/>
              </w:rPr>
            </w:pPr>
            <w:r>
              <w:rPr>
                <w:rFonts w:hint="eastAsia" w:ascii="仿宋_GB2312" w:hAnsi="黑体" w:eastAsia="仿宋_GB2312"/>
                <w:b/>
                <w:bCs/>
                <w:sz w:val="24"/>
                <w:szCs w:val="24"/>
              </w:rPr>
              <w:t>政策内容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1</w:t>
            </w:r>
          </w:p>
        </w:tc>
        <w:tc>
          <w:tcPr>
            <w:tcW w:w="1843" w:type="dxa"/>
            <w:vMerge w:val="restart"/>
            <w:vAlign w:val="center"/>
          </w:tcPr>
          <w:p>
            <w:pPr>
              <w:jc w:val="center"/>
              <w:rPr>
                <w:rFonts w:hint="eastAsia" w:ascii="仿宋_GB2312" w:hAnsi="黑体" w:eastAsia="仿宋_GB2312"/>
                <w:sz w:val="24"/>
                <w:szCs w:val="24"/>
              </w:rPr>
            </w:pPr>
            <w:r>
              <w:rPr>
                <w:rFonts w:ascii="仿宋_GB2312" w:hAnsi="黑体" w:eastAsia="仿宋_GB2312"/>
                <w:sz w:val="24"/>
                <w:szCs w:val="24"/>
              </w:rPr>
              <w:t>内控制度与财务规章制度</w:t>
            </w:r>
          </w:p>
        </w:tc>
        <w:tc>
          <w:tcPr>
            <w:tcW w:w="2976" w:type="dxa"/>
            <w:vAlign w:val="center"/>
          </w:tcPr>
          <w:p>
            <w:pPr>
              <w:rPr>
                <w:rFonts w:hint="eastAsia" w:ascii="仿宋_GB2312" w:hAnsi="黑体" w:eastAsia="仿宋_GB2312"/>
                <w:sz w:val="24"/>
                <w:szCs w:val="24"/>
              </w:rPr>
            </w:pPr>
            <w:r>
              <w:rPr>
                <w:rFonts w:ascii="仿宋_GB2312" w:hAnsi="黑体" w:eastAsia="仿宋_GB2312"/>
                <w:sz w:val="24"/>
                <w:szCs w:val="24"/>
              </w:rPr>
              <w:t>《关于改革完善中央财政科研经费管理的若干意见》（国办发〔2021〕32号）</w:t>
            </w:r>
          </w:p>
        </w:tc>
        <w:tc>
          <w:tcPr>
            <w:tcW w:w="8283" w:type="dxa"/>
          </w:tcPr>
          <w:p>
            <w:pPr>
              <w:ind w:firstLine="480" w:firstLineChars="200"/>
              <w:rPr>
                <w:rFonts w:ascii="仿宋_GB2312" w:hAnsi="黑体" w:eastAsia="仿宋_GB2312"/>
                <w:sz w:val="24"/>
                <w:szCs w:val="24"/>
              </w:rPr>
            </w:pPr>
            <w:r>
              <w:rPr>
                <w:rFonts w:ascii="仿宋_GB2312" w:hAnsi="黑体" w:eastAsia="仿宋_GB2312"/>
                <w:sz w:val="24"/>
                <w:szCs w:val="24"/>
              </w:rPr>
              <w:t xml:space="preserve"> (十三)改进财务报销管理方式。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p>
          <w:p>
            <w:pPr>
              <w:ind w:firstLine="480" w:firstLineChars="200"/>
              <w:rPr>
                <w:rFonts w:hint="eastAsia" w:ascii="仿宋_GB2312" w:hAnsi="黑体" w:eastAsia="仿宋_GB2312"/>
                <w:sz w:val="24"/>
                <w:szCs w:val="24"/>
              </w:rPr>
            </w:pPr>
            <w:r>
              <w:rPr>
                <w:rFonts w:ascii="仿宋_GB2312" w:hAnsi="黑体" w:eastAsia="仿宋_GB2312"/>
                <w:sz w:val="24"/>
                <w:szCs w:val="24"/>
              </w:rPr>
              <w:t>(十四)推进科研经费无纸化报销试点。选择部分电子票据接收、入账、归档处理工作量比较大的中央高校、科研院所、企业，纳入电子入账凭证会计数据标准推广范围，推动科研经费报销数字化、无纸化。</w:t>
            </w:r>
          </w:p>
          <w:p>
            <w:pPr>
              <w:ind w:firstLine="480" w:firstLineChars="200"/>
              <w:rPr>
                <w:rFonts w:hint="eastAsia" w:ascii="仿宋_GB2312" w:hAnsi="黑体" w:eastAsia="仿宋_GB2312"/>
                <w:sz w:val="24"/>
                <w:szCs w:val="24"/>
              </w:rPr>
            </w:pPr>
            <w:r>
              <w:rPr>
                <w:rFonts w:hint="eastAsia" w:ascii="仿宋_GB2312" w:hAnsi="黑体" w:eastAsia="仿宋_GB2312"/>
                <w:sz w:val="24"/>
                <w:szCs w:val="24"/>
              </w:rPr>
              <w:t>（二十三）项目承担单位要落实好科研项目实施和科研经费管理使用的主体责任，严格按照国家有关政策规定和权责一致的要求，强化自我约束和自我规范，及时完善内部管理制度，确保科研自主权接得住、管得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hint="eastAsia"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《北京市科技计划项目（课题）经费管理办法》（京财科文〔</w:t>
            </w:r>
            <w:r>
              <w:rPr>
                <w:rFonts w:ascii="仿宋_GB2312" w:hAnsi="黑体" w:eastAsia="仿宋_GB2312"/>
                <w:sz w:val="24"/>
                <w:szCs w:val="24"/>
              </w:rPr>
              <w:t>2021〕1822号）</w:t>
            </w:r>
          </w:p>
        </w:tc>
        <w:tc>
          <w:tcPr>
            <w:tcW w:w="8283" w:type="dxa"/>
          </w:tcPr>
          <w:p>
            <w:pPr>
              <w:ind w:firstLine="480" w:firstLineChars="200"/>
              <w:rPr>
                <w:rFonts w:ascii="仿宋_GB2312" w:hAnsi="黑体" w:eastAsia="仿宋_GB2312"/>
                <w:sz w:val="24"/>
                <w:szCs w:val="24"/>
              </w:rPr>
            </w:pPr>
            <w:r>
              <w:rPr>
                <w:rFonts w:hint="eastAsia" w:ascii="仿宋_GB2312" w:hAnsi="黑体" w:eastAsia="仿宋_GB2312"/>
                <w:sz w:val="24"/>
                <w:szCs w:val="24"/>
              </w:rPr>
              <w:t>第七条</w:t>
            </w:r>
            <w:r>
              <w:rPr>
                <w:rFonts w:ascii="仿宋_GB2312" w:hAnsi="黑体" w:eastAsia="仿宋_GB2312"/>
                <w:sz w:val="24"/>
                <w:szCs w:val="24"/>
              </w:rPr>
              <w:t xml:space="preserve"> 承担单位主要职责：</w:t>
            </w:r>
          </w:p>
          <w:p>
            <w:pPr>
              <w:pStyle w:val="7"/>
              <w:numPr>
                <w:ilvl w:val="0"/>
                <w:numId w:val="1"/>
              </w:numPr>
              <w:ind w:left="0" w:firstLine="480"/>
              <w:rPr>
                <w:rFonts w:ascii="仿宋_GB2312" w:hAnsi="黑体" w:eastAsia="仿宋_GB2312"/>
                <w:sz w:val="24"/>
                <w:szCs w:val="24"/>
              </w:rPr>
            </w:pPr>
            <w:r>
              <w:rPr>
                <w:rFonts w:hint="eastAsia" w:ascii="仿宋_GB2312" w:hAnsi="黑体" w:eastAsia="仿宋_GB2312"/>
                <w:sz w:val="24"/>
                <w:szCs w:val="24"/>
              </w:rPr>
              <w:t>负责制定和完善单位内控制度。制定或完善与项目（课题）经费管理有关的预算、支出、报销等财务规章制度。</w:t>
            </w:r>
          </w:p>
          <w:p>
            <w:pPr>
              <w:pStyle w:val="7"/>
              <w:ind w:left="480" w:firstLine="0" w:firstLineChars="0"/>
              <w:rPr>
                <w:rFonts w:ascii="仿宋_GB2312" w:hAnsi="黑体" w:eastAsia="仿宋_GB2312"/>
                <w:sz w:val="24"/>
                <w:szCs w:val="24"/>
              </w:rPr>
            </w:pPr>
            <w:r>
              <w:rPr>
                <w:rFonts w:hint="eastAsia" w:ascii="仿宋_GB2312" w:hAnsi="黑体" w:eastAsia="仿宋_GB2312"/>
                <w:sz w:val="24"/>
                <w:szCs w:val="24"/>
              </w:rPr>
              <w:t xml:space="preserve">第十五条 </w:t>
            </w:r>
            <w:r>
              <w:rPr>
                <w:rFonts w:ascii="仿宋_GB2312" w:hAnsi="黑体" w:eastAsia="仿宋_GB2312"/>
                <w:sz w:val="24"/>
                <w:szCs w:val="24"/>
              </w:rPr>
              <w:t xml:space="preserve"> </w:t>
            </w:r>
            <w:r>
              <w:rPr>
                <w:rFonts w:hint="eastAsia" w:ascii="仿宋_GB2312" w:hAnsi="黑体" w:eastAsia="仿宋_GB2312"/>
                <w:sz w:val="24"/>
                <w:szCs w:val="24"/>
              </w:rPr>
              <w:t>经费使用管理</w:t>
            </w:r>
          </w:p>
          <w:p>
            <w:pPr>
              <w:pStyle w:val="7"/>
              <w:numPr>
                <w:ilvl w:val="0"/>
                <w:numId w:val="2"/>
              </w:numPr>
              <w:ind w:left="0" w:firstLine="458" w:firstLineChars="191"/>
              <w:rPr>
                <w:rFonts w:ascii="仿宋_GB2312" w:hAnsi="黑体" w:eastAsia="仿宋_GB2312"/>
                <w:sz w:val="24"/>
                <w:szCs w:val="24"/>
              </w:rPr>
            </w:pPr>
            <w:r>
              <w:rPr>
                <w:rFonts w:hint="eastAsia" w:ascii="仿宋_GB2312" w:hAnsi="黑体" w:eastAsia="仿宋_GB2312"/>
                <w:sz w:val="24"/>
                <w:szCs w:val="24"/>
              </w:rPr>
              <w:t>经费核算</w:t>
            </w:r>
          </w:p>
          <w:p>
            <w:pPr>
              <w:ind w:firstLine="458" w:firstLineChars="191"/>
              <w:rPr>
                <w:rFonts w:ascii="仿宋_GB2312" w:hAnsi="黑体" w:eastAsia="仿宋_GB2312"/>
                <w:sz w:val="24"/>
                <w:szCs w:val="24"/>
              </w:rPr>
            </w:pPr>
            <w:r>
              <w:rPr>
                <w:rFonts w:ascii="仿宋_GB2312" w:hAnsi="黑体" w:eastAsia="仿宋_GB2312"/>
                <w:sz w:val="24"/>
                <w:szCs w:val="24"/>
              </w:rPr>
              <w:t>1.承担单位、项目管理专业机构应当具备健全的财务和内控制度，以及项目（课题）财务管理制度，由专职的财务人员负责项目（课题）经费的财务核算和管理工作。</w:t>
            </w:r>
          </w:p>
          <w:p>
            <w:pPr>
              <w:ind w:firstLine="458" w:firstLineChars="191"/>
              <w:rPr>
                <w:rFonts w:hint="eastAsia" w:ascii="仿宋_GB2312" w:hAnsi="黑体" w:eastAsia="仿宋_GB2312"/>
                <w:sz w:val="24"/>
                <w:szCs w:val="24"/>
              </w:rPr>
            </w:pPr>
            <w:r>
              <w:rPr>
                <w:rFonts w:hint="eastAsia" w:ascii="仿宋_GB2312" w:hAnsi="黑体" w:eastAsia="仿宋_GB2312"/>
                <w:sz w:val="24"/>
                <w:szCs w:val="24"/>
              </w:rPr>
              <w:t>（六）承担单位因科研活动需要，邀请国内外专家、学者和有关人员参加其主办的会议，对确需负担的城市间交通费、国际旅费，可由其在会议费等费用中报销。对国内差旅费中的伙食补助费、市内交通费和难以取得发票的住所费，承担单位可实行包干制。承担单位要制定符合科研实际需要的内部报销规定，切实解决野外考察、心理测试等科研活动中无法取得发票或财政性票据等的报销问题。</w:t>
            </w:r>
          </w:p>
          <w:p>
            <w:pPr>
              <w:ind w:firstLine="458" w:firstLineChars="191"/>
              <w:rPr>
                <w:rFonts w:hint="eastAsia" w:ascii="仿宋_GB2312" w:hAnsi="黑体" w:eastAsia="仿宋_GB2312"/>
                <w:sz w:val="24"/>
                <w:szCs w:val="24"/>
              </w:rPr>
            </w:pPr>
            <w:r>
              <w:rPr>
                <w:rFonts w:hint="eastAsia" w:ascii="仿宋_GB2312" w:hAnsi="黑体" w:eastAsia="仿宋_GB2312"/>
                <w:sz w:val="24"/>
                <w:szCs w:val="24"/>
              </w:rPr>
              <w:t>（七）承担单位应加强财务数据的电子化建设，推动科研经费报销的数字化、无纸化。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hint="eastAsia"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《北京市公益性科研院所行业定额实施指导意见》</w:t>
            </w:r>
          </w:p>
        </w:tc>
        <w:tc>
          <w:tcPr>
            <w:tcW w:w="8283" w:type="dxa"/>
          </w:tcPr>
          <w:p>
            <w:pPr>
              <w:ind w:firstLine="458" w:firstLineChars="191"/>
              <w:rPr>
                <w:rFonts w:ascii="仿宋_GB2312" w:hAnsi="黑体" w:eastAsia="仿宋_GB2312"/>
                <w:sz w:val="24"/>
                <w:szCs w:val="24"/>
              </w:rPr>
            </w:pPr>
            <w:r>
              <w:rPr>
                <w:rFonts w:hint="eastAsia" w:ascii="仿宋_GB2312" w:hAnsi="黑体" w:eastAsia="仿宋_GB2312"/>
                <w:sz w:val="24"/>
                <w:szCs w:val="24"/>
              </w:rPr>
              <w:t>第四条</w:t>
            </w:r>
            <w:r>
              <w:rPr>
                <w:rFonts w:ascii="仿宋_GB2312" w:hAnsi="黑体" w:eastAsia="仿宋_GB2312"/>
                <w:sz w:val="24"/>
                <w:szCs w:val="24"/>
              </w:rPr>
              <w:t xml:space="preserve"> 行业定额经费使用和管理原则：</w:t>
            </w:r>
          </w:p>
          <w:p>
            <w:pPr>
              <w:ind w:firstLine="458" w:firstLineChars="191"/>
              <w:rPr>
                <w:rFonts w:ascii="仿宋_GB2312" w:hAnsi="黑体" w:eastAsia="仿宋_GB2312"/>
                <w:sz w:val="24"/>
                <w:szCs w:val="24"/>
              </w:rPr>
            </w:pPr>
            <w:r>
              <w:rPr>
                <w:rFonts w:hint="eastAsia" w:ascii="仿宋_GB2312" w:hAnsi="黑体" w:eastAsia="仿宋_GB2312"/>
                <w:sz w:val="24"/>
                <w:szCs w:val="24"/>
              </w:rPr>
              <w:t>（四）制度保障。各市属公益院所应建立健全自主选题立项</w:t>
            </w:r>
            <w:r>
              <w:rPr>
                <w:rFonts w:hint="eastAsia" w:ascii="仿宋_GB2312" w:hAnsi="黑体" w:eastAsia="仿宋_GB2312"/>
                <w:sz w:val="24"/>
                <w:szCs w:val="24"/>
                <w:lang w:eastAsia="zh-CN"/>
              </w:rPr>
              <w:t>的</w:t>
            </w:r>
            <w:r>
              <w:rPr>
                <w:rFonts w:hint="eastAsia" w:ascii="仿宋_GB2312" w:hAnsi="黑体" w:eastAsia="仿宋_GB2312"/>
                <w:sz w:val="24"/>
                <w:szCs w:val="24"/>
              </w:rPr>
              <w:t>管理制度和经费管理制度，对定额经费的申报核定、使用监管、绩效评价等实施全过程管理。</w:t>
            </w:r>
          </w:p>
          <w:p>
            <w:pPr>
              <w:ind w:firstLine="458" w:firstLineChars="191"/>
              <w:rPr>
                <w:rFonts w:ascii="仿宋_GB2312" w:hAnsi="黑体" w:eastAsia="仿宋_GB2312"/>
                <w:sz w:val="24"/>
                <w:szCs w:val="24"/>
              </w:rPr>
            </w:pPr>
            <w:r>
              <w:rPr>
                <w:rFonts w:hint="eastAsia" w:ascii="仿宋_GB2312" w:hAnsi="黑体" w:eastAsia="仿宋_GB2312"/>
                <w:sz w:val="24"/>
                <w:szCs w:val="24"/>
              </w:rPr>
              <w:t>第七条</w:t>
            </w:r>
            <w:r>
              <w:rPr>
                <w:rFonts w:ascii="仿宋_GB2312" w:hAnsi="黑体" w:eastAsia="仿宋_GB2312"/>
                <w:sz w:val="24"/>
                <w:szCs w:val="24"/>
              </w:rPr>
              <w:tab/>
            </w:r>
            <w:r>
              <w:rPr>
                <w:rFonts w:ascii="仿宋_GB2312" w:hAnsi="黑体" w:eastAsia="仿宋_GB2312"/>
                <w:sz w:val="24"/>
                <w:szCs w:val="24"/>
              </w:rPr>
              <w:t>市属公益院所是行业定额经费管理和使用的责任主体，主要职责包括：</w:t>
            </w:r>
          </w:p>
          <w:p>
            <w:pPr>
              <w:ind w:firstLine="458" w:firstLineChars="191"/>
              <w:rPr>
                <w:rFonts w:hint="eastAsia" w:ascii="仿宋_GB2312" w:hAnsi="黑体" w:eastAsia="仿宋_GB2312"/>
                <w:sz w:val="24"/>
                <w:szCs w:val="24"/>
              </w:rPr>
            </w:pPr>
            <w:r>
              <w:rPr>
                <w:rFonts w:hint="eastAsia" w:ascii="仿宋_GB2312" w:hAnsi="黑体" w:eastAsia="仿宋_GB2312"/>
                <w:sz w:val="24"/>
                <w:szCs w:val="24"/>
              </w:rPr>
              <w:t>负责制定和完善与行业定额经费有关的各项内部制度，切实履行在资金申请、资金分配、资金使用、监督检查等方面的管理职责。……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2</w:t>
            </w:r>
          </w:p>
        </w:tc>
        <w:tc>
          <w:tcPr>
            <w:tcW w:w="1843" w:type="dxa"/>
            <w:vMerge w:val="restart"/>
            <w:vAlign w:val="center"/>
          </w:tcPr>
          <w:p>
            <w:pPr>
              <w:jc w:val="center"/>
              <w:rPr>
                <w:rFonts w:hint="eastAsia" w:ascii="仿宋_GB2312" w:hAnsi="黑体" w:eastAsia="仿宋_GB2312"/>
                <w:sz w:val="24"/>
                <w:szCs w:val="24"/>
              </w:rPr>
            </w:pPr>
            <w:r>
              <w:rPr>
                <w:rFonts w:ascii="仿宋_GB2312" w:hAnsi="黑体" w:eastAsia="仿宋_GB2312"/>
                <w:sz w:val="24"/>
                <w:szCs w:val="24"/>
              </w:rPr>
              <w:t>绩效支出使用和分配制度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《北京市科技计划项目（课题）经费管理办法》（京财科文〔</w:t>
            </w:r>
            <w:r>
              <w:rPr>
                <w:rFonts w:ascii="仿宋_GB2312" w:hAnsi="黑体" w:eastAsia="仿宋_GB2312"/>
                <w:sz w:val="24"/>
                <w:szCs w:val="24"/>
              </w:rPr>
              <w:t>2021〕1822号）</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第七条</w:t>
            </w:r>
            <w:r>
              <w:rPr>
                <w:rFonts w:ascii="仿宋_GB2312" w:hAnsi="黑体" w:eastAsia="仿宋_GB2312"/>
                <w:sz w:val="24"/>
                <w:szCs w:val="24"/>
              </w:rPr>
              <w:t xml:space="preserve"> 承担单位主要职责：</w:t>
            </w:r>
          </w:p>
          <w:p>
            <w:pPr>
              <w:pStyle w:val="7"/>
              <w:ind w:firstLine="480"/>
              <w:rPr>
                <w:rFonts w:ascii="仿宋_GB2312" w:hAnsi="黑体" w:eastAsia="仿宋_GB2312"/>
                <w:sz w:val="24"/>
                <w:szCs w:val="24"/>
              </w:rPr>
            </w:pPr>
            <w:r>
              <w:rPr>
                <w:rFonts w:hint="eastAsia" w:ascii="仿宋_GB2312" w:hAnsi="黑体" w:eastAsia="仿宋_GB2312"/>
                <w:sz w:val="24"/>
                <w:szCs w:val="24"/>
              </w:rPr>
              <w:t>负责制定和完善单位内控制度。……制定和公示绩效支出使用和分配制度。</w:t>
            </w:r>
          </w:p>
          <w:p>
            <w:pPr>
              <w:pStyle w:val="7"/>
              <w:ind w:firstLine="480"/>
              <w:rPr>
                <w:rFonts w:ascii="仿宋_GB2312" w:hAnsi="黑体" w:eastAsia="仿宋_GB2312"/>
                <w:sz w:val="24"/>
                <w:szCs w:val="24"/>
              </w:rPr>
            </w:pPr>
            <w:r>
              <w:rPr>
                <w:rFonts w:hint="eastAsia" w:ascii="仿宋_GB2312" w:hAnsi="黑体" w:eastAsia="仿宋_GB2312"/>
                <w:sz w:val="24"/>
                <w:szCs w:val="24"/>
              </w:rPr>
              <w:t>第十二条</w:t>
            </w:r>
            <w:r>
              <w:rPr>
                <w:rFonts w:ascii="仿宋_GB2312" w:hAnsi="黑体" w:eastAsia="仿宋_GB2312"/>
                <w:sz w:val="24"/>
                <w:szCs w:val="24"/>
              </w:rPr>
              <w:t xml:space="preserve"> 预算编制</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（二）明细预算编制和使用要求</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承担单位可将间接费用全部用于绩效支出，不受比例限制。绩效支出安排应当与科研人员在项目（课题）研究中的实际贡献挂钩，真正体现科研人员价值。绩效支出的使用范围和标准应在单位内部公示。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hint="eastAsia"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《北京市公益性科研院所行业定额实施指导意见》</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 xml:space="preserve">第十四条 </w:t>
            </w:r>
            <w:r>
              <w:rPr>
                <w:rFonts w:ascii="仿宋_GB2312" w:hAnsi="黑体" w:eastAsia="仿宋_GB2312"/>
                <w:sz w:val="24"/>
                <w:szCs w:val="24"/>
              </w:rPr>
              <w:t xml:space="preserve"> </w:t>
            </w:r>
            <w:r>
              <w:rPr>
                <w:rFonts w:hint="eastAsia" w:ascii="仿宋_GB2312" w:hAnsi="黑体" w:eastAsia="仿宋_GB2312"/>
                <w:sz w:val="24"/>
                <w:szCs w:val="24"/>
              </w:rPr>
              <w:t>市属公益院所可从改革与发展项目中提取不超过项目金额扣除设备购置费后的</w:t>
            </w:r>
            <w:r>
              <w:rPr>
                <w:rFonts w:ascii="仿宋_GB2312" w:hAnsi="黑体" w:eastAsia="仿宋_GB2312"/>
                <w:sz w:val="24"/>
                <w:szCs w:val="24"/>
              </w:rPr>
              <w:t>20%作为奖励经费；对绩效评价为优秀的公益院所，奖励费用比例进一步提高到不超过30%。奖励经费的安排应当与科研人员在项目研究中的实际贡献挂钩，真正体现科研人员价值。奖励经费的使用范围和标准由公益院所自主决定，在单位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3</w:t>
            </w:r>
          </w:p>
        </w:tc>
        <w:tc>
          <w:tcPr>
            <w:tcW w:w="1843" w:type="dxa"/>
            <w:vMerge w:val="restart"/>
            <w:vAlign w:val="center"/>
          </w:tcPr>
          <w:p>
            <w:pPr>
              <w:jc w:val="center"/>
              <w:rPr>
                <w:rFonts w:hint="eastAsia" w:ascii="仿宋_GB2312" w:hAnsi="黑体" w:eastAsia="仿宋_GB2312"/>
                <w:sz w:val="24"/>
                <w:szCs w:val="24"/>
              </w:rPr>
            </w:pPr>
            <w:r>
              <w:rPr>
                <w:rFonts w:ascii="仿宋_GB2312" w:hAnsi="黑体" w:eastAsia="仿宋_GB2312"/>
                <w:sz w:val="24"/>
                <w:szCs w:val="24"/>
              </w:rPr>
              <w:t>科研财务助理制度</w:t>
            </w:r>
          </w:p>
        </w:tc>
        <w:tc>
          <w:tcPr>
            <w:tcW w:w="2976" w:type="dxa"/>
            <w:vAlign w:val="center"/>
          </w:tcPr>
          <w:p>
            <w:pPr>
              <w:rPr>
                <w:rFonts w:hint="eastAsia" w:ascii="仿宋_GB2312" w:hAnsi="黑体" w:eastAsia="仿宋_GB2312"/>
                <w:sz w:val="24"/>
                <w:szCs w:val="24"/>
              </w:rPr>
            </w:pPr>
            <w:r>
              <w:rPr>
                <w:rFonts w:ascii="仿宋_GB2312" w:hAnsi="黑体" w:eastAsia="仿宋_GB2312"/>
                <w:sz w:val="24"/>
                <w:szCs w:val="24"/>
              </w:rPr>
              <w:t>《关于改革完善中央财政科研经费管理的若干意见》（国办发〔2021〕32号）</w:t>
            </w:r>
          </w:p>
        </w:tc>
        <w:tc>
          <w:tcPr>
            <w:tcW w:w="8283" w:type="dxa"/>
          </w:tcPr>
          <w:p>
            <w:pPr>
              <w:pStyle w:val="7"/>
              <w:ind w:firstLine="480"/>
              <w:rPr>
                <w:rFonts w:hint="eastAsia" w:ascii="仿宋_GB2312" w:hAnsi="黑体" w:eastAsia="仿宋_GB2312"/>
                <w:sz w:val="24"/>
                <w:szCs w:val="24"/>
              </w:rPr>
            </w:pPr>
            <w:r>
              <w:rPr>
                <w:rFonts w:ascii="仿宋_GB2312" w:hAnsi="黑体" w:eastAsia="仿宋_GB2312"/>
                <w:sz w:val="24"/>
                <w:szCs w:val="24"/>
              </w:rPr>
              <w:t>(十二)全面落实科研财务助理制度。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hint="eastAsia"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《北京市科技计划项目（课题）经费管理办法》（京财科文〔</w:t>
            </w:r>
            <w:r>
              <w:rPr>
                <w:rFonts w:ascii="仿宋_GB2312" w:hAnsi="黑体" w:eastAsia="仿宋_GB2312"/>
                <w:sz w:val="24"/>
                <w:szCs w:val="24"/>
              </w:rPr>
              <w:t>2021〕1822号）</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第七条</w:t>
            </w:r>
            <w:r>
              <w:rPr>
                <w:rFonts w:ascii="仿宋_GB2312" w:hAnsi="黑体" w:eastAsia="仿宋_GB2312"/>
                <w:sz w:val="24"/>
                <w:szCs w:val="24"/>
              </w:rPr>
              <w:t xml:space="preserve"> 承担单位的主要职责：</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（二）负责建立健全科研财务助理制度，为科研人员在预算编制和调剂、资金支出、财务决算和验收等方面提供专业化服务，减轻科研人员事务性负担。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4</w:t>
            </w:r>
          </w:p>
        </w:tc>
        <w:tc>
          <w:tcPr>
            <w:tcW w:w="1843" w:type="dxa"/>
            <w:vMerge w:val="restart"/>
            <w:vAlign w:val="center"/>
          </w:tcPr>
          <w:p>
            <w:pPr>
              <w:jc w:val="center"/>
              <w:rPr>
                <w:rFonts w:hint="eastAsia" w:ascii="仿宋_GB2312" w:hAnsi="黑体" w:eastAsia="仿宋_GB2312"/>
                <w:sz w:val="24"/>
                <w:szCs w:val="24"/>
              </w:rPr>
            </w:pPr>
            <w:r>
              <w:rPr>
                <w:rFonts w:ascii="仿宋_GB2312" w:hAnsi="黑体" w:eastAsia="仿宋_GB2312"/>
                <w:sz w:val="24"/>
                <w:szCs w:val="24"/>
              </w:rPr>
              <w:t>结余资金使用制度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《关于改革完善中央财政科研经费管理的若干意见》（国办发〔</w:t>
            </w:r>
            <w:r>
              <w:rPr>
                <w:rFonts w:ascii="仿宋_GB2312" w:hAnsi="黑体" w:eastAsia="仿宋_GB2312"/>
                <w:sz w:val="24"/>
                <w:szCs w:val="24"/>
              </w:rPr>
              <w:t>2021〕32号）</w:t>
            </w:r>
          </w:p>
        </w:tc>
        <w:tc>
          <w:tcPr>
            <w:tcW w:w="8283" w:type="dxa"/>
          </w:tcPr>
          <w:p>
            <w:pPr>
              <w:pStyle w:val="7"/>
              <w:ind w:firstLine="480"/>
              <w:rPr>
                <w:rFonts w:hint="eastAsia" w:ascii="仿宋_GB2312" w:hAnsi="黑体" w:eastAsia="仿宋_GB2312"/>
                <w:sz w:val="24"/>
                <w:szCs w:val="24"/>
              </w:rPr>
            </w:pPr>
            <w:r>
              <w:rPr>
                <w:rFonts w:ascii="仿宋_GB2312" w:hAnsi="黑体" w:eastAsia="仿宋_GB2312"/>
                <w:sz w:val="24"/>
                <w:szCs w:val="24"/>
              </w:rPr>
              <w:t>(六)改进结余资金管理。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hint="eastAsia"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《北京市科技计划项目（课题）经费管理办法》（京财科文〔</w:t>
            </w:r>
            <w:r>
              <w:rPr>
                <w:rFonts w:ascii="仿宋_GB2312" w:hAnsi="黑体" w:eastAsia="仿宋_GB2312"/>
                <w:sz w:val="24"/>
                <w:szCs w:val="24"/>
              </w:rPr>
              <w:t>2021〕1822号）</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第十七条</w:t>
            </w:r>
            <w:r>
              <w:rPr>
                <w:rFonts w:ascii="仿宋_GB2312" w:hAnsi="黑体" w:eastAsia="仿宋_GB2312"/>
                <w:sz w:val="24"/>
                <w:szCs w:val="24"/>
              </w:rPr>
              <w:t xml:space="preserve"> 结转、结余资金管理</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承担单位要将结余资金统筹用于科研活动直接支出，优先考虑原项目团队科研需求。承担单位应加强结余资金管理，建立健全结余资金盘活机制，加快结余资金使用进度。结余资金情况作为项目（课题）验收情况信息向社会主动公开，接受单位内部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5</w:t>
            </w:r>
          </w:p>
        </w:tc>
        <w:tc>
          <w:tcPr>
            <w:tcW w:w="1843" w:type="dxa"/>
            <w:vAlign w:val="center"/>
          </w:tcPr>
          <w:p>
            <w:pPr>
              <w:jc w:val="center"/>
              <w:rPr>
                <w:rFonts w:hint="eastAsia" w:ascii="仿宋_GB2312" w:hAnsi="黑体" w:eastAsia="仿宋_GB2312"/>
                <w:sz w:val="24"/>
                <w:szCs w:val="24"/>
              </w:rPr>
            </w:pPr>
            <w:r>
              <w:rPr>
                <w:rFonts w:ascii="仿宋_GB2312" w:hAnsi="黑体" w:eastAsia="仿宋_GB2312"/>
                <w:sz w:val="24"/>
                <w:szCs w:val="24"/>
              </w:rPr>
              <w:t>科研类差旅、会议支出管理制度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《北京市科技计划项目（课题）经费管理办法》（京财科文〔</w:t>
            </w:r>
            <w:r>
              <w:rPr>
                <w:rFonts w:ascii="仿宋_GB2312" w:hAnsi="黑体" w:eastAsia="仿宋_GB2312"/>
                <w:sz w:val="24"/>
                <w:szCs w:val="24"/>
              </w:rPr>
              <w:t>2021〕1822号）</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第十二条</w:t>
            </w:r>
            <w:r>
              <w:rPr>
                <w:rFonts w:ascii="仿宋_GB2312" w:hAnsi="黑体" w:eastAsia="仿宋_GB2312"/>
                <w:sz w:val="24"/>
                <w:szCs w:val="24"/>
              </w:rPr>
              <w:t xml:space="preserve"> 预算编制</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承担单位应根据科研活动实际需要，按照实事求是、精简高效、厉行节约的原则，制定出台科研类差旅、会议支出管理办法，合理确定科研人员乘坐交通工具等级、住宿费标准，会议次数、天数、人数和会议支出范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6</w:t>
            </w:r>
          </w:p>
        </w:tc>
        <w:tc>
          <w:tcPr>
            <w:tcW w:w="1843" w:type="dxa"/>
            <w:vAlign w:val="center"/>
          </w:tcPr>
          <w:p>
            <w:pPr>
              <w:jc w:val="center"/>
              <w:rPr>
                <w:rFonts w:hint="eastAsia" w:ascii="仿宋_GB2312" w:hAnsi="黑体" w:eastAsia="仿宋_GB2312"/>
                <w:sz w:val="24"/>
                <w:szCs w:val="24"/>
              </w:rPr>
            </w:pPr>
            <w:r>
              <w:rPr>
                <w:rFonts w:ascii="仿宋_GB2312" w:hAnsi="黑体" w:eastAsia="仿宋_GB2312"/>
                <w:sz w:val="24"/>
                <w:szCs w:val="24"/>
              </w:rPr>
              <w:t>咨询支出管理制度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《北京市科技计划项目（课题）经费管理办法》（京财科文〔</w:t>
            </w:r>
            <w:r>
              <w:rPr>
                <w:rFonts w:ascii="仿宋_GB2312" w:hAnsi="黑体" w:eastAsia="仿宋_GB2312"/>
                <w:sz w:val="24"/>
                <w:szCs w:val="24"/>
              </w:rPr>
              <w:t>2021〕1822号）</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第十二条</w:t>
            </w:r>
            <w:r>
              <w:rPr>
                <w:rFonts w:ascii="仿宋_GB2312" w:hAnsi="黑体" w:eastAsia="仿宋_GB2312"/>
                <w:sz w:val="24"/>
                <w:szCs w:val="24"/>
              </w:rPr>
              <w:t xml:space="preserve"> 预算编制</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承担单位应根据科研活动实际需要，制定咨询支出管理办法和开支标准，不得支付给参与项目（课题）研究及管理相关的工作人员。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7</w:t>
            </w:r>
          </w:p>
        </w:tc>
        <w:tc>
          <w:tcPr>
            <w:tcW w:w="1843"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劳务费支出管理制度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《北京市科技计划项目（课题）经费管理办法》（京财科文〔</w:t>
            </w:r>
            <w:r>
              <w:rPr>
                <w:rFonts w:ascii="仿宋_GB2312" w:hAnsi="黑体" w:eastAsia="仿宋_GB2312"/>
                <w:sz w:val="24"/>
                <w:szCs w:val="24"/>
              </w:rPr>
              <w:t>2021〕1822号）</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第十二条</w:t>
            </w:r>
            <w:r>
              <w:rPr>
                <w:rFonts w:ascii="仿宋_GB2312" w:hAnsi="黑体" w:eastAsia="仿宋_GB2312"/>
                <w:sz w:val="24"/>
                <w:szCs w:val="24"/>
              </w:rPr>
              <w:t xml:space="preserve"> 预算编制</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承担单位应根据科研活动实际需要，建立劳务费分配制度。财政供养人员不得列支劳务费。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8</w:t>
            </w:r>
          </w:p>
        </w:tc>
        <w:tc>
          <w:tcPr>
            <w:tcW w:w="1843" w:type="dxa"/>
            <w:vAlign w:val="center"/>
          </w:tcPr>
          <w:p>
            <w:pPr>
              <w:jc w:val="center"/>
              <w:rPr>
                <w:rFonts w:hint="eastAsia" w:ascii="仿宋_GB2312" w:hAnsi="黑体" w:eastAsia="仿宋_GB2312"/>
                <w:sz w:val="24"/>
                <w:szCs w:val="24"/>
              </w:rPr>
            </w:pPr>
            <w:r>
              <w:rPr>
                <w:rFonts w:ascii="仿宋_GB2312" w:hAnsi="黑体" w:eastAsia="仿宋_GB2312"/>
                <w:sz w:val="24"/>
                <w:szCs w:val="24"/>
              </w:rPr>
              <w:t>间接费用管理制度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《北京市科技计划项目（课题）经费管理办法》（京财科文〔</w:t>
            </w:r>
            <w:r>
              <w:rPr>
                <w:rFonts w:ascii="仿宋_GB2312" w:hAnsi="黑体" w:eastAsia="仿宋_GB2312"/>
                <w:sz w:val="24"/>
                <w:szCs w:val="24"/>
              </w:rPr>
              <w:t>2021〕1822号）</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第十二条</w:t>
            </w:r>
            <w:r>
              <w:rPr>
                <w:rFonts w:ascii="仿宋_GB2312" w:hAnsi="黑体" w:eastAsia="仿宋_GB2312"/>
                <w:sz w:val="24"/>
                <w:szCs w:val="24"/>
              </w:rPr>
              <w:t xml:space="preserve"> 预算编制</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（二）明细预算编制和使用要求</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间接费用由承担单位统筹安排使用。承担单位应当建立健全间接费用的内部管理办法，公开透明、合理规范使用间接费用。间接费用的使用应向项目（课题）组内部创新绩效突出的团队和个人倾斜，承担单位要处理好合理分摊间接成本和对科研人员激励的关系，不得截留、挪用、挤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9</w:t>
            </w:r>
          </w:p>
        </w:tc>
        <w:tc>
          <w:tcPr>
            <w:tcW w:w="1843"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支持青年人员的制度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《关于开展减轻青年科研人员负担专项行动的通知》（国科发政〔</w:t>
            </w:r>
            <w:r>
              <w:rPr>
                <w:rFonts w:ascii="仿宋_GB2312" w:hAnsi="黑体" w:eastAsia="仿宋_GB2312"/>
                <w:sz w:val="24"/>
                <w:szCs w:val="24"/>
              </w:rPr>
              <w:t>2022〕214号</w:t>
            </w:r>
            <w:r>
              <w:rPr>
                <w:rFonts w:hint="eastAsia" w:ascii="仿宋_GB2312" w:hAnsi="黑体" w:eastAsia="仿宋_GB2312"/>
                <w:sz w:val="24"/>
                <w:szCs w:val="24"/>
              </w:rPr>
              <w:t>）</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中央级公益性科研院所和中央部门直属高等学校基本科研业务费用于资助青年科研人员的比例一般不低于</w:t>
            </w:r>
            <w:r>
              <w:rPr>
                <w:rFonts w:ascii="仿宋_GB2312" w:hAnsi="黑体" w:eastAsia="仿宋_GB2312"/>
                <w:sz w:val="24"/>
                <w:szCs w:val="24"/>
              </w:rPr>
              <w:t>50%，加大对青年科研人员科研的支持力度，减轻项目申报负担。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hint="eastAsia"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《关于进一步加强青年科技人才培养和使用的若干措施》</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鼓励各类国家科技创新基地面向青年科技人才自主设立科研项目，由</w:t>
            </w:r>
            <w:r>
              <w:rPr>
                <w:rFonts w:ascii="仿宋_GB2312" w:hAnsi="黑体" w:eastAsia="仿宋_GB2312"/>
                <w:sz w:val="24"/>
                <w:szCs w:val="24"/>
              </w:rPr>
              <w:t>40岁以下青年科技人才领衔承担的比例原则上不低于60%。</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基本科研业务费重点用于支持</w:t>
            </w:r>
            <w:r>
              <w:rPr>
                <w:rFonts w:ascii="仿宋_GB2312" w:hAnsi="黑体" w:eastAsia="仿宋_GB2312"/>
                <w:sz w:val="24"/>
                <w:szCs w:val="24"/>
              </w:rPr>
              <w:t>35岁以下青年科技人才开展自主研究，有条件的单位支持比例逐步提到不低于年度预算的50%，引导青年科技人才聚焦国家战略需求，开展前沿科学问题研究。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hint="eastAsia"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《北京市公益性科研院所行业定额实施指导意见》</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第十五条</w:t>
            </w:r>
            <w:r>
              <w:rPr>
                <w:rFonts w:ascii="仿宋_GB2312" w:hAnsi="黑体" w:eastAsia="仿宋_GB2312"/>
                <w:sz w:val="24"/>
                <w:szCs w:val="24"/>
              </w:rPr>
              <w:tab/>
            </w:r>
            <w:r>
              <w:rPr>
                <w:rFonts w:ascii="仿宋_GB2312" w:hAnsi="黑体" w:eastAsia="仿宋_GB2312"/>
                <w:sz w:val="24"/>
                <w:szCs w:val="24"/>
              </w:rPr>
              <w:t>市属公益院所改革与发展项目中支持青年科研人员的比例，一般不低于年度预算的50%。</w:t>
            </w:r>
          </w:p>
        </w:tc>
      </w:tr>
    </w:tbl>
    <w:p>
      <w:pPr>
        <w:rPr>
          <w:rFonts w:ascii="黑体" w:hAnsi="黑体" w:eastAsia="黑体"/>
          <w:sz w:val="32"/>
          <w:szCs w:val="36"/>
        </w:rPr>
      </w:pPr>
    </w:p>
    <w:p>
      <w:pPr>
        <w:widowControl/>
        <w:jc w:val="left"/>
        <w:rPr>
          <w:rFonts w:ascii="黑体" w:hAnsi="黑体" w:eastAsia="黑体"/>
          <w:sz w:val="32"/>
          <w:szCs w:val="36"/>
        </w:rPr>
      </w:pPr>
      <w:r>
        <w:rPr>
          <w:rFonts w:ascii="黑体" w:hAnsi="黑体" w:eastAsia="黑体"/>
          <w:sz w:val="32"/>
          <w:szCs w:val="36"/>
        </w:rPr>
        <w:br w:type="page"/>
      </w:r>
    </w:p>
    <w:p>
      <w:pPr>
        <w:numPr>
          <w:numId w:val="0"/>
        </w:numPr>
        <w:ind w:leftChars="0"/>
        <w:rPr>
          <w:rFonts w:hint="eastAsia" w:ascii="黑体" w:hAnsi="黑体" w:eastAsia="黑体"/>
          <w:spacing w:val="-6"/>
          <w:sz w:val="32"/>
          <w:szCs w:val="36"/>
        </w:rPr>
      </w:pPr>
      <w:r>
        <w:rPr>
          <w:rFonts w:hint="eastAsia" w:ascii="黑体" w:hAnsi="黑体" w:eastAsia="黑体"/>
          <w:spacing w:val="-6"/>
          <w:sz w:val="32"/>
          <w:szCs w:val="36"/>
          <w:lang w:eastAsia="zh-CN"/>
        </w:rPr>
        <w:t>二、</w:t>
      </w:r>
      <w:r>
        <w:rPr>
          <w:rFonts w:hint="eastAsia" w:ascii="黑体" w:hAnsi="黑体" w:eastAsia="黑体"/>
          <w:spacing w:val="-6"/>
          <w:sz w:val="32"/>
          <w:szCs w:val="36"/>
        </w:rPr>
        <w:t>对照本市促进科技成果转化及促进科研仪器开放共享相关政策，单位应制定和完善的相关制度清单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43"/>
        <w:gridCol w:w="2976"/>
        <w:gridCol w:w="8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tcPr>
          <w:p>
            <w:pPr>
              <w:jc w:val="center"/>
              <w:rPr>
                <w:rFonts w:hint="eastAsia" w:ascii="仿宋_GB2312" w:hAnsi="黑体" w:eastAsia="仿宋_GB2312"/>
                <w:b/>
                <w:bCs/>
                <w:sz w:val="24"/>
                <w:szCs w:val="24"/>
              </w:rPr>
            </w:pPr>
          </w:p>
        </w:tc>
        <w:tc>
          <w:tcPr>
            <w:tcW w:w="1843" w:type="dxa"/>
          </w:tcPr>
          <w:p>
            <w:pPr>
              <w:jc w:val="center"/>
              <w:rPr>
                <w:rFonts w:hint="eastAsia" w:ascii="仿宋_GB2312" w:hAnsi="黑体" w:eastAsia="仿宋_GB2312"/>
                <w:b/>
                <w:bCs/>
                <w:sz w:val="24"/>
                <w:szCs w:val="24"/>
              </w:rPr>
            </w:pPr>
            <w:r>
              <w:rPr>
                <w:rFonts w:hint="eastAsia" w:ascii="仿宋_GB2312" w:hAnsi="黑体" w:eastAsia="仿宋_GB2312"/>
                <w:b/>
                <w:bCs/>
                <w:sz w:val="24"/>
                <w:szCs w:val="24"/>
              </w:rPr>
              <w:t>制度名称</w:t>
            </w:r>
          </w:p>
        </w:tc>
        <w:tc>
          <w:tcPr>
            <w:tcW w:w="2976" w:type="dxa"/>
          </w:tcPr>
          <w:p>
            <w:pPr>
              <w:jc w:val="center"/>
              <w:rPr>
                <w:rFonts w:hint="eastAsia" w:ascii="仿宋_GB2312" w:hAnsi="黑体" w:eastAsia="仿宋_GB2312"/>
                <w:b/>
                <w:bCs/>
                <w:sz w:val="24"/>
                <w:szCs w:val="24"/>
              </w:rPr>
            </w:pPr>
            <w:r>
              <w:rPr>
                <w:rFonts w:hint="eastAsia" w:ascii="仿宋_GB2312" w:hAnsi="黑体" w:eastAsia="仿宋_GB2312"/>
                <w:b/>
                <w:bCs/>
                <w:sz w:val="24"/>
                <w:szCs w:val="24"/>
              </w:rPr>
              <w:t>政策依据</w:t>
            </w:r>
          </w:p>
        </w:tc>
        <w:tc>
          <w:tcPr>
            <w:tcW w:w="8283" w:type="dxa"/>
          </w:tcPr>
          <w:p>
            <w:pPr>
              <w:jc w:val="center"/>
              <w:rPr>
                <w:rFonts w:hint="eastAsia" w:ascii="仿宋_GB2312" w:hAnsi="黑体" w:eastAsia="仿宋_GB2312"/>
                <w:b/>
                <w:bCs/>
                <w:sz w:val="24"/>
                <w:szCs w:val="24"/>
              </w:rPr>
            </w:pPr>
            <w:r>
              <w:rPr>
                <w:rFonts w:hint="eastAsia" w:ascii="仿宋_GB2312" w:hAnsi="黑体" w:eastAsia="仿宋_GB2312"/>
                <w:b/>
                <w:bCs/>
                <w:sz w:val="24"/>
                <w:szCs w:val="24"/>
              </w:rPr>
              <w:t>政策内容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1</w:t>
            </w:r>
          </w:p>
        </w:tc>
        <w:tc>
          <w:tcPr>
            <w:tcW w:w="1843" w:type="dxa"/>
            <w:vMerge w:val="restart"/>
            <w:vAlign w:val="center"/>
          </w:tcPr>
          <w:p>
            <w:pPr>
              <w:jc w:val="center"/>
              <w:rPr>
                <w:rFonts w:hint="eastAsia" w:ascii="仿宋_GB2312" w:hAnsi="黑体" w:eastAsia="仿宋_GB2312"/>
                <w:sz w:val="24"/>
                <w:szCs w:val="24"/>
              </w:rPr>
            </w:pPr>
            <w:r>
              <w:rPr>
                <w:rFonts w:ascii="仿宋_GB2312" w:hAnsi="黑体" w:eastAsia="仿宋_GB2312"/>
                <w:sz w:val="24"/>
                <w:szCs w:val="24"/>
              </w:rPr>
              <w:t>科技成果转化管理制度及其实施细则</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w:t>
            </w:r>
            <w:bookmarkStart w:id="3" w:name="_Hlk144652664"/>
            <w:r>
              <w:rPr>
                <w:rFonts w:hint="eastAsia" w:ascii="仿宋_GB2312" w:hAnsi="黑体" w:eastAsia="仿宋_GB2312"/>
                <w:sz w:val="24"/>
                <w:szCs w:val="24"/>
              </w:rPr>
              <w:t>北京市促进科技成果转化条例</w:t>
            </w:r>
            <w:bookmarkEnd w:id="3"/>
            <w:r>
              <w:rPr>
                <w:rFonts w:hint="eastAsia" w:ascii="仿宋_GB2312" w:hAnsi="黑体" w:eastAsia="仿宋_GB2312"/>
                <w:sz w:val="24"/>
                <w:szCs w:val="24"/>
              </w:rPr>
              <w:t>》</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第十五条　政府设立的研发机构、高等院校应当建立符合本单位特点的科技成果转化管理制度，明确科技成果的登记、转化实施程序、收益分配、组织保障、异议处理等内容。</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第三十八条</w:t>
            </w:r>
            <w:r>
              <w:rPr>
                <w:rFonts w:ascii="仿宋_GB2312" w:hAnsi="黑体" w:eastAsia="仿宋_GB2312"/>
                <w:sz w:val="24"/>
                <w:szCs w:val="24"/>
              </w:rPr>
              <w:t xml:space="preserve"> 本市建立知识产权公共服务体系，指导和支持研发机构、高等院校、企业等建立本单位的知识产权管理制度，提升知识产权保护和运用能力。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《关于打通高校院所、医疗卫生机构科技成果在京转化堵点若干措施》（京科发〔</w:t>
            </w:r>
            <w:r>
              <w:rPr>
                <w:rFonts w:ascii="仿宋_GB2312" w:hAnsi="黑体" w:eastAsia="仿宋_GB2312"/>
                <w:sz w:val="24"/>
                <w:szCs w:val="24"/>
              </w:rPr>
              <w:t>2021〕82号）</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一、（二）制定配套实施细则。高校院所、医疗卫生机构建立本单位科技成果转化管理政策体系，制定或修订促进科技成果转化组织实施管理办法，出台有关科技成果的披露、知识产权管理、科技成果转化方式（许可、转让、作价投资、完成人实施等）、岗位管理、职称评定、人员兼职和离岗创业、勤勉尽责、资产管理、奖励激励等各项实施细则，并向主管部门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2</w:t>
            </w:r>
          </w:p>
        </w:tc>
        <w:tc>
          <w:tcPr>
            <w:tcW w:w="1843" w:type="dxa"/>
            <w:vMerge w:val="restart"/>
            <w:vAlign w:val="center"/>
          </w:tcPr>
          <w:p>
            <w:pPr>
              <w:jc w:val="center"/>
              <w:rPr>
                <w:rFonts w:hint="eastAsia" w:ascii="仿宋_GB2312" w:hAnsi="黑体" w:eastAsia="仿宋_GB2312"/>
                <w:sz w:val="24"/>
                <w:szCs w:val="24"/>
              </w:rPr>
            </w:pPr>
            <w:r>
              <w:rPr>
                <w:rFonts w:ascii="仿宋_GB2312" w:hAnsi="黑体" w:eastAsia="仿宋_GB2312"/>
                <w:sz w:val="24"/>
                <w:szCs w:val="24"/>
              </w:rPr>
              <w:t>科技成果转化</w:t>
            </w:r>
            <w:r>
              <w:rPr>
                <w:rFonts w:hint="eastAsia" w:ascii="仿宋_GB2312" w:hAnsi="黑体" w:eastAsia="仿宋_GB2312"/>
                <w:sz w:val="24"/>
                <w:szCs w:val="24"/>
              </w:rPr>
              <w:t>组织</w:t>
            </w:r>
            <w:r>
              <w:rPr>
                <w:rFonts w:ascii="仿宋_GB2312" w:hAnsi="黑体" w:eastAsia="仿宋_GB2312"/>
                <w:sz w:val="24"/>
                <w:szCs w:val="24"/>
              </w:rPr>
              <w:t>机制或本单位科技成果转化工作指导意见</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《北京市促进科技成果转化条例》</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第十六条　政府设立的研发机构、高等院校应当加强科技成果转化队伍建设，提供必要的经费保障，明确专门机构或者专门人员负责下列工作：</w:t>
            </w:r>
          </w:p>
          <w:p>
            <w:pPr>
              <w:pStyle w:val="7"/>
              <w:ind w:firstLine="480"/>
              <w:rPr>
                <w:rFonts w:ascii="仿宋_GB2312" w:hAnsi="黑体" w:eastAsia="仿宋_GB2312"/>
                <w:sz w:val="24"/>
                <w:szCs w:val="24"/>
              </w:rPr>
            </w:pPr>
            <w:r>
              <w:rPr>
                <w:rFonts w:ascii="仿宋_GB2312" w:hAnsi="黑体" w:eastAsia="仿宋_GB2312"/>
                <w:sz w:val="24"/>
                <w:szCs w:val="24"/>
              </w:rPr>
              <w:t>(一)受理科技成果登记；</w:t>
            </w:r>
          </w:p>
          <w:p>
            <w:pPr>
              <w:pStyle w:val="7"/>
              <w:ind w:firstLine="480"/>
              <w:rPr>
                <w:rFonts w:ascii="仿宋_GB2312" w:hAnsi="黑体" w:eastAsia="仿宋_GB2312"/>
                <w:sz w:val="24"/>
                <w:szCs w:val="24"/>
              </w:rPr>
            </w:pPr>
            <w:r>
              <w:rPr>
                <w:rFonts w:ascii="仿宋_GB2312" w:hAnsi="黑体" w:eastAsia="仿宋_GB2312"/>
                <w:sz w:val="24"/>
                <w:szCs w:val="24"/>
              </w:rPr>
              <w:t>(二)分析科技成果应用价值；</w:t>
            </w:r>
          </w:p>
          <w:p>
            <w:pPr>
              <w:pStyle w:val="7"/>
              <w:ind w:firstLine="480"/>
              <w:rPr>
                <w:rFonts w:ascii="仿宋_GB2312" w:hAnsi="黑体" w:eastAsia="仿宋_GB2312"/>
                <w:sz w:val="24"/>
                <w:szCs w:val="24"/>
              </w:rPr>
            </w:pPr>
            <w:r>
              <w:rPr>
                <w:rFonts w:ascii="仿宋_GB2312" w:hAnsi="黑体" w:eastAsia="仿宋_GB2312"/>
                <w:sz w:val="24"/>
                <w:szCs w:val="24"/>
              </w:rPr>
              <w:t>(三)拟定科技成果权利分配及转化方案；</w:t>
            </w:r>
          </w:p>
          <w:p>
            <w:pPr>
              <w:pStyle w:val="7"/>
              <w:ind w:firstLine="480"/>
              <w:rPr>
                <w:rFonts w:ascii="仿宋_GB2312" w:hAnsi="黑体" w:eastAsia="仿宋_GB2312"/>
                <w:sz w:val="24"/>
                <w:szCs w:val="24"/>
              </w:rPr>
            </w:pPr>
            <w:r>
              <w:rPr>
                <w:rFonts w:ascii="仿宋_GB2312" w:hAnsi="黑体" w:eastAsia="仿宋_GB2312"/>
                <w:sz w:val="24"/>
                <w:szCs w:val="24"/>
              </w:rPr>
              <w:t>(四)自行组织或者指导、协助科技成果完成人开展科技成果后续试验、开发；</w:t>
            </w:r>
          </w:p>
          <w:p>
            <w:pPr>
              <w:pStyle w:val="7"/>
              <w:ind w:firstLine="480"/>
              <w:rPr>
                <w:rFonts w:ascii="仿宋_GB2312" w:hAnsi="黑体" w:eastAsia="仿宋_GB2312"/>
                <w:sz w:val="24"/>
                <w:szCs w:val="24"/>
              </w:rPr>
            </w:pPr>
            <w:r>
              <w:rPr>
                <w:rFonts w:ascii="仿宋_GB2312" w:hAnsi="黑体" w:eastAsia="仿宋_GB2312"/>
                <w:sz w:val="24"/>
                <w:szCs w:val="24"/>
              </w:rPr>
              <w:t>(五)申请、保护和管理科技成果的知识产权；</w:t>
            </w:r>
          </w:p>
          <w:p>
            <w:pPr>
              <w:pStyle w:val="7"/>
              <w:ind w:firstLine="480"/>
              <w:rPr>
                <w:rFonts w:hint="eastAsia" w:ascii="仿宋_GB2312" w:hAnsi="黑体" w:eastAsia="仿宋_GB2312"/>
                <w:sz w:val="24"/>
                <w:szCs w:val="24"/>
              </w:rPr>
            </w:pPr>
            <w:r>
              <w:rPr>
                <w:rFonts w:ascii="仿宋_GB2312" w:hAnsi="黑体" w:eastAsia="仿宋_GB2312"/>
                <w:sz w:val="24"/>
                <w:szCs w:val="24"/>
              </w:rPr>
              <w:t>(六)与科技成果转化相关的其他工作。</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《关于打通高校院所、医疗卫生机构科技成果在京转化堵点若干措施》（京科发〔</w:t>
            </w:r>
            <w:r>
              <w:rPr>
                <w:rFonts w:ascii="仿宋_GB2312" w:hAnsi="黑体" w:eastAsia="仿宋_GB2312"/>
                <w:sz w:val="24"/>
                <w:szCs w:val="24"/>
              </w:rPr>
              <w:t>2021〕82号）</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一、（一）全面落实主体责任。高校院所、医疗卫生机构依据《条例》落实主体责任，单位主要负责人作为科技成果转化工作第一责任人，要大力推进科技成果转化工作。建立由单位主要负责人牵头的科技创新或科技成果转化工作机制，负责统筹、协调、审议、决策等，制定本单位科技成果转化工作指导意见，加强本单位各部门科技成果转化协同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ascii="仿宋_GB2312" w:hAnsi="黑体" w:eastAsia="仿宋_GB2312"/>
                <w:sz w:val="24"/>
                <w:szCs w:val="24"/>
              </w:rPr>
              <w:t>《北京市财政局关于进一步明确科技成果转化涉及国有资产管理有关事项的通知》（京财资产〔2020〕2260号）</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市级研究开发机构、高等院校要遵循科技成果转移转化规律，完善科技成果转化机制，加强科技成果管理，规范科技成果转化程序，建立健全科技成果转化重大事项领导班子集体决策制度，提高科技成果转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3</w:t>
            </w:r>
          </w:p>
        </w:tc>
        <w:tc>
          <w:tcPr>
            <w:tcW w:w="1843" w:type="dxa"/>
            <w:vMerge w:val="restart"/>
            <w:vAlign w:val="center"/>
          </w:tcPr>
          <w:p>
            <w:pPr>
              <w:jc w:val="center"/>
              <w:rPr>
                <w:rFonts w:ascii="仿宋_GB2312" w:hAnsi="黑体" w:eastAsia="仿宋_GB2312"/>
                <w:sz w:val="24"/>
                <w:szCs w:val="24"/>
              </w:rPr>
            </w:pPr>
            <w:r>
              <w:rPr>
                <w:rFonts w:hint="eastAsia" w:ascii="仿宋_GB2312" w:hAnsi="黑体" w:eastAsia="仿宋_GB2312"/>
                <w:sz w:val="24"/>
                <w:szCs w:val="24"/>
              </w:rPr>
              <w:t>科技成果转化的特点的职称分类评审、岗位管理和考核评价制度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《北京市促进科技成果转化条例》</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第十八条　政府设立的研发机构、高等院校应当建立符合本单位科技成果转化工作特点的职称分类评审、岗位管理和考核评价制度，将通过科技成果转化创造的产值、利润等经济效益和吸纳就业、节约资源、保护环境等社会效益，作为专业技术职称评审、岗位管理和考核评价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《关于打通高校院所、医疗卫生机构科技成果在京转化堵点若干措施》（京科发〔</w:t>
            </w:r>
            <w:r>
              <w:rPr>
                <w:rFonts w:ascii="仿宋_GB2312" w:hAnsi="黑体" w:eastAsia="仿宋_GB2312"/>
                <w:sz w:val="24"/>
                <w:szCs w:val="24"/>
              </w:rPr>
              <w:t>2021〕82号）</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二、（八）经科技成果转化作为人才职称评定的重要指标。支持高校院所、医疗卫生机构根据本单位情况，建立科技成果转化与职称评定、岗位聘任、人才评价、绩效考核等相挂钩的评价指标体系，对从事应用研究和技术创新的专业技术人才，将科技成果转化数量、质量、绩效及贡献等情况作为职称评审、职务晋升的重要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4</w:t>
            </w:r>
          </w:p>
        </w:tc>
        <w:tc>
          <w:tcPr>
            <w:tcW w:w="1843"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科技成果转化收益分配奖励制度</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《北京市促进科技成果转化条例》</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第十二条</w:t>
            </w:r>
            <w:r>
              <w:rPr>
                <w:rFonts w:ascii="仿宋_GB2312" w:hAnsi="黑体" w:eastAsia="仿宋_GB2312"/>
                <w:sz w:val="24"/>
                <w:szCs w:val="24"/>
              </w:rPr>
              <w:t xml:space="preserve"> 科技成果完成单位持有的职务科技成果转化后，应当由单位对完成、转化该项科技成果做出重要贡献的人员给予奖励和报酬。</w:t>
            </w:r>
          </w:p>
          <w:p>
            <w:pPr>
              <w:pStyle w:val="7"/>
              <w:ind w:firstLine="480"/>
              <w:rPr>
                <w:rFonts w:ascii="仿宋_GB2312" w:hAnsi="黑体" w:eastAsia="仿宋_GB2312"/>
                <w:sz w:val="24"/>
                <w:szCs w:val="24"/>
              </w:rPr>
            </w:pPr>
            <w:r>
              <w:rPr>
                <w:rFonts w:hint="eastAsia" w:ascii="仿宋_GB2312" w:hAnsi="黑体" w:eastAsia="仿宋_GB2312"/>
                <w:sz w:val="24"/>
                <w:szCs w:val="24"/>
              </w:rPr>
              <w:t>单位可以依法规定或者与科技人员约定奖励和报酬的方式、数额和时限。单位未规定、也未与科技人员约定的，按照《中华人民共和国促进科技成果转化法》的规定执行。政府设立的研发机构、高等院校可以按照下列标准对完成、转化该项科技成果做出重要贡献的人员给予奖励和报酬：</w:t>
            </w:r>
          </w:p>
          <w:p>
            <w:pPr>
              <w:pStyle w:val="7"/>
              <w:ind w:firstLine="480"/>
              <w:rPr>
                <w:rFonts w:ascii="仿宋_GB2312" w:hAnsi="黑体" w:eastAsia="仿宋_GB2312"/>
                <w:sz w:val="24"/>
                <w:szCs w:val="24"/>
              </w:rPr>
            </w:pPr>
            <w:r>
              <w:rPr>
                <w:rFonts w:hint="eastAsia" w:ascii="仿宋_GB2312" w:hAnsi="黑体" w:eastAsia="仿宋_GB2312"/>
                <w:sz w:val="24"/>
                <w:szCs w:val="24"/>
              </w:rPr>
              <w:t>（一）将职务科技成果转让、许可给他人实施的，从该项科技成果转让净收入或者许可净收入中提取不低于百分之七十的比例；</w:t>
            </w:r>
          </w:p>
          <w:p>
            <w:pPr>
              <w:pStyle w:val="7"/>
              <w:ind w:firstLine="480"/>
              <w:rPr>
                <w:rFonts w:ascii="仿宋_GB2312" w:hAnsi="黑体" w:eastAsia="仿宋_GB2312"/>
                <w:sz w:val="24"/>
                <w:szCs w:val="24"/>
              </w:rPr>
            </w:pPr>
            <w:r>
              <w:rPr>
                <w:rFonts w:hint="eastAsia" w:ascii="仿宋_GB2312" w:hAnsi="黑体" w:eastAsia="仿宋_GB2312"/>
                <w:sz w:val="24"/>
                <w:szCs w:val="24"/>
              </w:rPr>
              <w:t>（二）利用职务科技成果作价投资的，从该项科技成果形成的股份或者出资比例中提取不低于百分之七十的比例；</w:t>
            </w:r>
          </w:p>
          <w:p>
            <w:pPr>
              <w:pStyle w:val="7"/>
              <w:ind w:firstLine="480"/>
              <w:rPr>
                <w:rFonts w:ascii="仿宋_GB2312" w:hAnsi="黑体" w:eastAsia="仿宋_GB2312"/>
                <w:sz w:val="24"/>
                <w:szCs w:val="24"/>
              </w:rPr>
            </w:pPr>
            <w:r>
              <w:rPr>
                <w:rFonts w:hint="eastAsia" w:ascii="仿宋_GB2312" w:hAnsi="黑体" w:eastAsia="仿宋_GB2312"/>
                <w:sz w:val="24"/>
                <w:szCs w:val="24"/>
              </w:rPr>
              <w:t>（三）将职务科技成果自行实施转化或者与他人合作实施转化的，在实施转化成功投产后，从开始盈利的年度起连续五年内，每年从实施转化该项科技成果的营业利润中提取不低于百分之五的比例。五年奖励期限满后依据其他法律法规应当继续给予奖励或者报酬的，从其规定。</w:t>
            </w:r>
          </w:p>
          <w:p>
            <w:pPr>
              <w:pStyle w:val="7"/>
              <w:ind w:firstLine="480"/>
              <w:rPr>
                <w:rFonts w:ascii="仿宋_GB2312" w:hAnsi="黑体" w:eastAsia="仿宋_GB2312"/>
                <w:sz w:val="24"/>
                <w:szCs w:val="24"/>
              </w:rPr>
            </w:pPr>
            <w:r>
              <w:rPr>
                <w:rFonts w:hint="eastAsia" w:ascii="仿宋_GB2312" w:hAnsi="黑体" w:eastAsia="仿宋_GB2312"/>
                <w:sz w:val="24"/>
                <w:szCs w:val="24"/>
              </w:rPr>
              <w:t>前款所称净收入，是指转让、许可收入扣除本次交易发生的相关税金、维护该科技成果的费用及交易过程中的评估、鉴定、谈判等直接成本后的余额。</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政府设立的研发机构、高等院校及国有企业依照本条例规定对完成、转化职务科技成果做出重要贡献的人员给予奖励和报酬的支出计入当年本单位工资总额，但不受当年本单位工资总额和绩效工资总量限制、不纳入本单位工资总额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5</w:t>
            </w:r>
          </w:p>
        </w:tc>
        <w:tc>
          <w:tcPr>
            <w:tcW w:w="1843" w:type="dxa"/>
            <w:vAlign w:val="center"/>
          </w:tcPr>
          <w:p>
            <w:pPr>
              <w:jc w:val="center"/>
              <w:rPr>
                <w:rFonts w:ascii="仿宋_GB2312" w:hAnsi="黑体" w:eastAsia="仿宋_GB2312"/>
                <w:sz w:val="24"/>
                <w:szCs w:val="24"/>
              </w:rPr>
            </w:pPr>
            <w:r>
              <w:rPr>
                <w:rFonts w:ascii="仿宋_GB2312" w:hAnsi="黑体" w:eastAsia="仿宋_GB2312"/>
                <w:sz w:val="24"/>
                <w:szCs w:val="24"/>
              </w:rPr>
              <w:t>建立以转化为导向的科研项目管理机制</w:t>
            </w: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《关于打通高校院所、医疗卫生机构科技成果在京转化堵点若干措施》（京科发〔</w:t>
            </w:r>
            <w:r>
              <w:rPr>
                <w:rFonts w:ascii="仿宋_GB2312" w:hAnsi="黑体" w:eastAsia="仿宋_GB2312"/>
                <w:sz w:val="24"/>
                <w:szCs w:val="24"/>
              </w:rPr>
              <w:t>2021〕82号）</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一、（五）建立以转化为导向的科研项目全过程管理机制。高校院所、医疗卫生机构对财政经费支持的技术创新和应用技术研究开发类项目，应将科技成果转化和知识产权创造、运用作为立项和验收时的重要内容和依据，纳入绩效管理，在项目任务书中明确项目承担单位的科技成果转化义务和转化期限，配备科技成果转化专员，建立重大项目全程服务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6</w:t>
            </w:r>
          </w:p>
        </w:tc>
        <w:tc>
          <w:tcPr>
            <w:tcW w:w="1843" w:type="dxa"/>
            <w:vAlign w:val="center"/>
          </w:tcPr>
          <w:p>
            <w:pPr>
              <w:jc w:val="center"/>
              <w:rPr>
                <w:rFonts w:ascii="仿宋_GB2312" w:hAnsi="黑体" w:eastAsia="仿宋_GB2312"/>
                <w:sz w:val="24"/>
                <w:szCs w:val="24"/>
              </w:rPr>
            </w:pPr>
            <w:r>
              <w:rPr>
                <w:rFonts w:ascii="仿宋_GB2312" w:hAnsi="黑体" w:eastAsia="仿宋_GB2312"/>
                <w:sz w:val="24"/>
                <w:szCs w:val="24"/>
              </w:rPr>
              <w:t>科研仪器开放、运行、维护、使用管理制度</w:t>
            </w:r>
          </w:p>
        </w:tc>
        <w:tc>
          <w:tcPr>
            <w:tcW w:w="2976" w:type="dxa"/>
            <w:vAlign w:val="center"/>
          </w:tcPr>
          <w:p>
            <w:pPr>
              <w:rPr>
                <w:rFonts w:hint="eastAsia" w:ascii="仿宋_GB2312" w:hAnsi="黑体" w:eastAsia="仿宋_GB2312"/>
                <w:sz w:val="24"/>
                <w:szCs w:val="24"/>
              </w:rPr>
            </w:pPr>
            <w:r>
              <w:rPr>
                <w:rFonts w:ascii="仿宋_GB2312" w:hAnsi="黑体" w:eastAsia="仿宋_GB2312"/>
                <w:sz w:val="24"/>
                <w:szCs w:val="24"/>
              </w:rPr>
              <w:t>《关于加强首都科技条件平台建设 进一步促进重大科研基础设施和大型科研仪器向社会开放的实施意见》（京政办发〔2016〕34号）</w:t>
            </w:r>
          </w:p>
        </w:tc>
        <w:tc>
          <w:tcPr>
            <w:tcW w:w="8283" w:type="dxa"/>
          </w:tcPr>
          <w:p>
            <w:pPr>
              <w:pStyle w:val="7"/>
              <w:numPr>
                <w:ilvl w:val="0"/>
                <w:numId w:val="3"/>
              </w:numPr>
              <w:ind w:firstLine="480"/>
              <w:rPr>
                <w:rFonts w:hint="eastAsia" w:ascii="仿宋_GB2312" w:hAnsi="黑体" w:eastAsia="仿宋_GB2312"/>
                <w:sz w:val="24"/>
                <w:szCs w:val="24"/>
              </w:rPr>
            </w:pPr>
            <w:r>
              <w:rPr>
                <w:rFonts w:hint="eastAsia" w:ascii="仿宋_GB2312" w:hAnsi="黑体" w:eastAsia="仿宋_GB2312"/>
                <w:sz w:val="24"/>
                <w:szCs w:val="24"/>
              </w:rPr>
              <w:t>保障措施（二）明确主体责任：各管理单位要切实履行开放职责，自觉接受相关部门的考核评估和社会监督；根据科研设施与仪器的类型和用户需求，建立相应的开放、运行、维护、使用管理制度；合理配置实验技术人员，建立专业化的技术服务团队，落实技术人员岗位、培训、薪酬、评价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7</w:t>
            </w:r>
          </w:p>
        </w:tc>
        <w:tc>
          <w:tcPr>
            <w:tcW w:w="1843" w:type="dxa"/>
            <w:vMerge w:val="restart"/>
            <w:vAlign w:val="center"/>
          </w:tcPr>
          <w:p>
            <w:pPr>
              <w:jc w:val="center"/>
              <w:rPr>
                <w:rFonts w:ascii="仿宋_GB2312" w:hAnsi="黑体" w:eastAsia="仿宋_GB2312"/>
                <w:sz w:val="24"/>
                <w:szCs w:val="24"/>
              </w:rPr>
            </w:pPr>
            <w:r>
              <w:rPr>
                <w:rFonts w:ascii="仿宋_GB2312" w:hAnsi="黑体" w:eastAsia="仿宋_GB2312"/>
                <w:sz w:val="24"/>
                <w:szCs w:val="24"/>
              </w:rPr>
              <w:t>科研仪器开放共享服务</w:t>
            </w:r>
            <w:r>
              <w:rPr>
                <w:rFonts w:hint="eastAsia" w:ascii="仿宋_GB2312" w:hAnsi="黑体" w:eastAsia="仿宋_GB2312"/>
                <w:sz w:val="24"/>
                <w:szCs w:val="24"/>
              </w:rPr>
              <w:t>人员激励制度</w:t>
            </w:r>
          </w:p>
        </w:tc>
        <w:tc>
          <w:tcPr>
            <w:tcW w:w="2976" w:type="dxa"/>
            <w:vAlign w:val="center"/>
          </w:tcPr>
          <w:p>
            <w:pPr>
              <w:rPr>
                <w:rFonts w:hint="eastAsia" w:ascii="仿宋_GB2312" w:hAnsi="黑体" w:eastAsia="仿宋_GB2312"/>
                <w:sz w:val="24"/>
                <w:szCs w:val="24"/>
              </w:rPr>
            </w:pPr>
            <w:r>
              <w:rPr>
                <w:rFonts w:ascii="仿宋_GB2312" w:hAnsi="黑体" w:eastAsia="仿宋_GB2312"/>
                <w:sz w:val="24"/>
                <w:szCs w:val="24"/>
              </w:rPr>
              <w:t>《关于加强首都科技条件平台建设 进一步促进重大科研基础设施和大型科研仪器向社会开放的实施意见》（京政办发〔2016〕34号）</w:t>
            </w:r>
          </w:p>
        </w:tc>
        <w:tc>
          <w:tcPr>
            <w:tcW w:w="8283" w:type="dxa"/>
          </w:tcPr>
          <w:p>
            <w:pPr>
              <w:pStyle w:val="7"/>
              <w:ind w:firstLine="480"/>
              <w:rPr>
                <w:rFonts w:hint="eastAsia" w:ascii="仿宋_GB2312" w:hAnsi="黑体" w:eastAsia="仿宋_GB2312"/>
                <w:sz w:val="24"/>
                <w:szCs w:val="24"/>
              </w:rPr>
            </w:pPr>
            <w:r>
              <w:rPr>
                <w:rFonts w:hint="eastAsia" w:ascii="仿宋_GB2312" w:hAnsi="黑体" w:eastAsia="仿宋_GB2312"/>
                <w:sz w:val="24"/>
                <w:szCs w:val="24"/>
              </w:rPr>
              <w:t>（三）</w:t>
            </w:r>
            <w:r>
              <w:rPr>
                <w:rFonts w:ascii="仿宋_GB2312" w:hAnsi="黑体" w:eastAsia="仿宋_GB2312"/>
                <w:sz w:val="24"/>
                <w:szCs w:val="24"/>
              </w:rPr>
              <w:t>2.强化对提供开放共享服务的激励。科研设施与仪器开放共享服务收入中扣除相关成本费用后的结余部分，以不低于70%的比例用于对科研人员提供开放共享服务的绩效奖励。该绩效奖励一次性计入本单位工资总额，但不受当年本单位工资总额限制，不纳入本单位工资总额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hint="eastAsia" w:ascii="仿宋_GB2312" w:hAnsi="黑体" w:eastAsia="仿宋_GB2312"/>
                <w:sz w:val="24"/>
                <w:szCs w:val="24"/>
              </w:rPr>
            </w:pPr>
          </w:p>
        </w:tc>
        <w:tc>
          <w:tcPr>
            <w:tcW w:w="1843" w:type="dxa"/>
            <w:vMerge w:val="continue"/>
            <w:vAlign w:val="center"/>
          </w:tcPr>
          <w:p>
            <w:pPr>
              <w:jc w:val="center"/>
              <w:rPr>
                <w:rFonts w:ascii="仿宋_GB2312" w:hAnsi="黑体" w:eastAsia="仿宋_GB2312"/>
                <w:sz w:val="24"/>
                <w:szCs w:val="24"/>
              </w:rPr>
            </w:pPr>
          </w:p>
        </w:tc>
        <w:tc>
          <w:tcPr>
            <w:tcW w:w="2976" w:type="dxa"/>
            <w:vAlign w:val="center"/>
          </w:tcPr>
          <w:p>
            <w:pPr>
              <w:rPr>
                <w:rFonts w:hint="eastAsia" w:ascii="仿宋_GB2312" w:hAnsi="黑体" w:eastAsia="仿宋_GB2312"/>
                <w:sz w:val="24"/>
                <w:szCs w:val="24"/>
              </w:rPr>
            </w:pPr>
            <w:r>
              <w:rPr>
                <w:rFonts w:hint="eastAsia" w:ascii="仿宋_GB2312" w:hAnsi="黑体" w:eastAsia="仿宋_GB2312"/>
                <w:sz w:val="24"/>
                <w:szCs w:val="24"/>
              </w:rPr>
              <w:t>《北京市关于解决重大科研基础设施和大型科研仪器向社会开放若干关键问题的实施细则（试行）》</w:t>
            </w:r>
          </w:p>
        </w:tc>
        <w:tc>
          <w:tcPr>
            <w:tcW w:w="8283" w:type="dxa"/>
          </w:tcPr>
          <w:p>
            <w:pPr>
              <w:pStyle w:val="7"/>
              <w:ind w:firstLine="480"/>
              <w:rPr>
                <w:rFonts w:ascii="仿宋_GB2312" w:hAnsi="黑体" w:eastAsia="仿宋_GB2312"/>
                <w:sz w:val="24"/>
                <w:szCs w:val="24"/>
              </w:rPr>
            </w:pPr>
            <w:r>
              <w:rPr>
                <w:rFonts w:hint="eastAsia" w:ascii="仿宋_GB2312" w:hAnsi="黑体" w:eastAsia="仿宋_GB2312"/>
                <w:sz w:val="24"/>
                <w:szCs w:val="24"/>
              </w:rPr>
              <w:t>第四条：管理单位制定本单位的绩效激励办法</w:t>
            </w:r>
            <w:r>
              <w:rPr>
                <w:rFonts w:ascii="仿宋_GB2312" w:hAnsi="黑体" w:eastAsia="仿宋_GB2312"/>
                <w:sz w:val="24"/>
                <w:szCs w:val="24"/>
              </w:rPr>
              <w:t>,在主管部门备案,开展对外服务,上报实施情况。</w:t>
            </w:r>
          </w:p>
          <w:p>
            <w:pPr>
              <w:pStyle w:val="7"/>
              <w:ind w:firstLine="480"/>
              <w:rPr>
                <w:rFonts w:hint="eastAsia" w:ascii="仿宋_GB2312" w:hAnsi="黑体" w:eastAsia="仿宋_GB2312"/>
                <w:sz w:val="24"/>
                <w:szCs w:val="24"/>
              </w:rPr>
            </w:pPr>
            <w:r>
              <w:rPr>
                <w:rFonts w:hint="eastAsia" w:ascii="仿宋_GB2312" w:hAnsi="黑体" w:eastAsia="仿宋_GB2312"/>
                <w:sz w:val="24"/>
                <w:szCs w:val="24"/>
              </w:rPr>
              <w:t>管理单位根据本单位开放管理制度</w:t>
            </w:r>
            <w:r>
              <w:rPr>
                <w:rFonts w:ascii="仿宋_GB2312" w:hAnsi="黑体" w:eastAsia="仿宋_GB2312"/>
                <w:sz w:val="24"/>
                <w:szCs w:val="24"/>
              </w:rPr>
              <w:t>,制定实施开放共享服务绩效激励办法,经公示后报上级行政管理部门(以下简称主管部门)备案,对外服务需签订技术服务合同、科研合同等协议,依据服务收入及成本核算、报备的绩效激励办法形成分配方案,在本单位公示后进行分配,绩效激励支出可以在预算年度内分次发放或一次性发放。</w:t>
            </w:r>
          </w:p>
        </w:tc>
      </w:tr>
    </w:tbl>
    <w:p/>
    <w:p>
      <w:pPr>
        <w:rPr>
          <w:rFonts w:hint="eastAsia" w:ascii="黑体" w:hAnsi="黑体" w:eastAsia="黑体"/>
          <w:sz w:val="32"/>
          <w:szCs w:val="36"/>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汉仪中圆B5">
    <w:panose1 w:val="02010600000101010101"/>
    <w:charset w:val="88"/>
    <w:family w:val="auto"/>
    <w:pitch w:val="default"/>
    <w:sig w:usb0="00000001" w:usb1="080E0800" w:usb2="00000002" w:usb3="00000000" w:csb0="0010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细黑一_GBK">
    <w:panose1 w:val="03000509000000000000"/>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汉仪中圆简">
    <w:panose1 w:val="00020600040101010101"/>
    <w:charset w:val="86"/>
    <w:family w:val="auto"/>
    <w:pitch w:val="default"/>
    <w:sig w:usb0="A00002BF" w:usb1="18EF7CFA" w:usb2="00000016" w:usb3="00000000" w:csb0="00040000" w:csb1="00000000"/>
  </w:font>
  <w:font w:name="汉仪中等线B5">
    <w:panose1 w:val="0101010401010101010B"/>
    <w:charset w:val="86"/>
    <w:family w:val="auto"/>
    <w:pitch w:val="default"/>
    <w:sig w:usb0="800000A3" w:usb1="00497878" w:usb2="00000000" w:usb3="00000000" w:csb0="00040001" w:csb1="00000000"/>
  </w:font>
  <w:font w:name="CESI楷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786163419"/>
                            <w:docPartObj>
                              <w:docPartGallery w:val="autotext"/>
                            </w:docPartObj>
                          </w:sdtPr>
                          <w:sdtContent>
                            <w:p>
                              <w:pPr>
                                <w:pStyle w:val="2"/>
                                <w:jc w:val="cente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PAGE   \* MERGEFORMAT</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lang w:val="zh-CN"/>
                                </w:rPr>
                                <w:t>2</w:t>
                              </w:r>
                              <w:r>
                                <w:rPr>
                                  <w:rFonts w:hint="eastAsia" w:ascii="CESI宋体-GB2312" w:hAnsi="CESI宋体-GB2312" w:eastAsia="CESI宋体-GB2312" w:cs="CESI宋体-GB2312"/>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id w:val="786163419"/>
                      <w:docPartObj>
                        <w:docPartGallery w:val="autotext"/>
                      </w:docPartObj>
                    </w:sdtPr>
                    <w:sdtContent>
                      <w:p>
                        <w:pPr>
                          <w:pStyle w:val="2"/>
                          <w:jc w:val="cente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PAGE   \* MERGEFORMAT</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lang w:val="zh-CN"/>
                          </w:rPr>
                          <w:t>2</w:t>
                        </w:r>
                        <w:r>
                          <w:rPr>
                            <w:rFonts w:hint="eastAsia" w:ascii="CESI宋体-GB2312" w:hAnsi="CESI宋体-GB2312" w:eastAsia="CESI宋体-GB2312" w:cs="CESI宋体-GB2312"/>
                            <w:sz w:val="28"/>
                            <w:szCs w:val="28"/>
                          </w:rPr>
                          <w:fldChar w:fldCharType="end"/>
                        </w:r>
                      </w:p>
                    </w:sdtContent>
                  </w:sdt>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BBB5B"/>
    <w:multiLevelType w:val="singleLevel"/>
    <w:tmpl w:val="EAFBBB5B"/>
    <w:lvl w:ilvl="0" w:tentative="0">
      <w:start w:val="4"/>
      <w:numFmt w:val="chineseCounting"/>
      <w:suff w:val="nothing"/>
      <w:lvlText w:val="%1、"/>
      <w:lvlJc w:val="left"/>
      <w:rPr>
        <w:rFonts w:hint="eastAsia"/>
      </w:rPr>
    </w:lvl>
  </w:abstractNum>
  <w:abstractNum w:abstractNumId="1">
    <w:nsid w:val="1A4C0F40"/>
    <w:multiLevelType w:val="multilevel"/>
    <w:tmpl w:val="1A4C0F40"/>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199091A"/>
    <w:multiLevelType w:val="multilevel"/>
    <w:tmpl w:val="6199091A"/>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DB"/>
    <w:rsid w:val="00027D46"/>
    <w:rsid w:val="000B0D95"/>
    <w:rsid w:val="001264BC"/>
    <w:rsid w:val="00132833"/>
    <w:rsid w:val="001358FB"/>
    <w:rsid w:val="002823A7"/>
    <w:rsid w:val="00285126"/>
    <w:rsid w:val="003178F6"/>
    <w:rsid w:val="005629F8"/>
    <w:rsid w:val="005C5730"/>
    <w:rsid w:val="006741B8"/>
    <w:rsid w:val="00777FA2"/>
    <w:rsid w:val="007A0BB7"/>
    <w:rsid w:val="00814340"/>
    <w:rsid w:val="008945BA"/>
    <w:rsid w:val="00914510"/>
    <w:rsid w:val="009428B5"/>
    <w:rsid w:val="009978C5"/>
    <w:rsid w:val="009E390F"/>
    <w:rsid w:val="00A36424"/>
    <w:rsid w:val="00AB6AD9"/>
    <w:rsid w:val="00AD39A6"/>
    <w:rsid w:val="00B32EE3"/>
    <w:rsid w:val="00B57961"/>
    <w:rsid w:val="00B72A0D"/>
    <w:rsid w:val="00C90CCA"/>
    <w:rsid w:val="00C934DB"/>
    <w:rsid w:val="00CD625E"/>
    <w:rsid w:val="00D6051E"/>
    <w:rsid w:val="00D82935"/>
    <w:rsid w:val="00F31F62"/>
    <w:rsid w:val="00F52A2D"/>
    <w:rsid w:val="00F73A1A"/>
    <w:rsid w:val="00F92124"/>
    <w:rsid w:val="00FE697E"/>
    <w:rsid w:val="176F3A48"/>
    <w:rsid w:val="2EFC60AA"/>
    <w:rsid w:val="3BBB2373"/>
    <w:rsid w:val="5E6EA086"/>
    <w:rsid w:val="5EE7D560"/>
    <w:rsid w:val="5FBBBDE1"/>
    <w:rsid w:val="7EEF1C62"/>
    <w:rsid w:val="AFFF9086"/>
    <w:rsid w:val="BBADD388"/>
    <w:rsid w:val="DE94BAD3"/>
    <w:rsid w:val="FEEFA28B"/>
    <w:rsid w:val="FFDF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930</Words>
  <Characters>5306</Characters>
  <Lines>44</Lines>
  <Paragraphs>12</Paragraphs>
  <TotalTime>2</TotalTime>
  <ScaleCrop>false</ScaleCrop>
  <LinksUpToDate>false</LinksUpToDate>
  <CharactersWithSpaces>6224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2023-09-05T14:40:00Z</dcterms:created>
  <dc:creator>洋 杨</dc:creator>
  <cp:lastModifiedBy>user</cp:lastModifiedBy>
  <dcterms:modified xsi:type="dcterms:W3CDTF">2023-09-22T09:46:12Z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