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558DE">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firstLine="880" w:firstLineChars="20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《北京市财政系统行政处罚</w:t>
      </w:r>
    </w:p>
    <w:p w14:paraId="4D7654BA">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firstLine="880" w:firstLineChars="20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裁量基准》政策解读</w:t>
      </w:r>
    </w:p>
    <w:p w14:paraId="3A077FD6">
      <w:pPr>
        <w:pStyle w:val="2"/>
        <w:ind w:left="0" w:leftChars="0" w:firstLine="640" w:firstLineChars="200"/>
        <w:rPr>
          <w:rFonts w:hint="eastAsia" w:ascii="仿宋_GB2312" w:hAnsi="仿宋_GB2312" w:eastAsia="仿宋_GB2312" w:cs="仿宋_GB2312"/>
          <w:color w:val="auto"/>
          <w:kern w:val="2"/>
          <w:sz w:val="32"/>
          <w:szCs w:val="32"/>
          <w:highlight w:val="none"/>
          <w:lang w:val="en-US" w:eastAsia="zh-CN" w:bidi="ar-SA"/>
        </w:rPr>
      </w:pPr>
    </w:p>
    <w:p w14:paraId="1392DC58">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highlight w:val="none"/>
          <w:u w:val="none"/>
          <w:lang w:val="en-US" w:eastAsia="zh-CN"/>
        </w:rPr>
      </w:pPr>
      <w:r>
        <w:rPr>
          <w:rFonts w:hint="eastAsia" w:ascii="黑体" w:hAnsi="黑体" w:eastAsia="黑体" w:cs="黑体"/>
          <w:sz w:val="32"/>
          <w:szCs w:val="32"/>
          <w:highlight w:val="none"/>
          <w:u w:val="none"/>
          <w:lang w:val="en-US" w:eastAsia="zh-CN"/>
        </w:rPr>
        <w:t>一、制定背景</w:t>
      </w:r>
    </w:p>
    <w:p w14:paraId="701420B6">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u w:val="none"/>
          <w:lang w:eastAsia="zh-CN"/>
        </w:rPr>
      </w:pPr>
      <w:r>
        <w:rPr>
          <w:rFonts w:hint="eastAsia" w:ascii="仿宋_GB2312" w:hAnsi="仿宋_GB2312" w:eastAsia="仿宋_GB2312" w:cs="仿宋_GB2312"/>
          <w:sz w:val="32"/>
          <w:szCs w:val="32"/>
          <w:highlight w:val="none"/>
          <w:u w:val="none"/>
          <w:lang w:eastAsia="zh-CN"/>
        </w:rPr>
        <w:t>为贯彻落实《国务院办公厅关于进一步规范行政裁量权基准制定和管理工作的意见》（国办发〔</w:t>
      </w:r>
      <w:r>
        <w:rPr>
          <w:rFonts w:hint="eastAsia" w:ascii="仿宋_GB2312" w:hAnsi="仿宋_GB2312" w:eastAsia="仿宋_GB2312" w:cs="仿宋_GB2312"/>
          <w:sz w:val="32"/>
          <w:szCs w:val="32"/>
          <w:highlight w:val="none"/>
          <w:u w:val="none"/>
          <w:lang w:val="en-US" w:eastAsia="zh-CN"/>
        </w:rPr>
        <w:t>2022〕27号</w:t>
      </w:r>
      <w:r>
        <w:rPr>
          <w:rFonts w:hint="eastAsia" w:ascii="仿宋_GB2312" w:hAnsi="仿宋_GB2312" w:eastAsia="仿宋_GB2312" w:cs="仿宋_GB2312"/>
          <w:sz w:val="32"/>
          <w:szCs w:val="32"/>
          <w:highlight w:val="none"/>
          <w:u w:val="none"/>
          <w:lang w:eastAsia="zh-CN"/>
        </w:rPr>
        <w:t>）、北京市推进依法行政工作领导小组办公室《关于进一步规范行政裁量权基准制定和管理工作的实施意见》（京依法行政办发〔</w:t>
      </w:r>
      <w:r>
        <w:rPr>
          <w:rFonts w:hint="eastAsia" w:ascii="仿宋_GB2312" w:hAnsi="仿宋_GB2312" w:eastAsia="仿宋_GB2312" w:cs="仿宋_GB2312"/>
          <w:sz w:val="32"/>
          <w:szCs w:val="32"/>
          <w:highlight w:val="none"/>
          <w:u w:val="none"/>
          <w:lang w:val="en-US" w:eastAsia="zh-CN"/>
        </w:rPr>
        <w:t>2023〕4号</w:t>
      </w:r>
      <w:r>
        <w:rPr>
          <w:rFonts w:hint="eastAsia" w:ascii="仿宋_GB2312" w:hAnsi="仿宋_GB2312" w:eastAsia="仿宋_GB2312" w:cs="仿宋_GB2312"/>
          <w:sz w:val="32"/>
          <w:szCs w:val="32"/>
          <w:highlight w:val="none"/>
          <w:u w:val="none"/>
          <w:lang w:eastAsia="zh-CN"/>
        </w:rPr>
        <w:t>）等文件要求，</w:t>
      </w:r>
      <w:r>
        <w:rPr>
          <w:rFonts w:hint="default" w:ascii="仿宋_GB2312" w:hAnsi="仿宋_GB2312" w:eastAsia="仿宋_GB2312" w:cs="仿宋_GB2312"/>
          <w:sz w:val="32"/>
          <w:szCs w:val="32"/>
          <w:highlight w:val="none"/>
          <w:u w:val="none"/>
          <w:lang w:val="en-US" w:eastAsia="zh-CN"/>
        </w:rPr>
        <w:t>健全</w:t>
      </w:r>
      <w:r>
        <w:rPr>
          <w:rFonts w:hint="eastAsia" w:ascii="仿宋_GB2312" w:hAnsi="仿宋_GB2312" w:eastAsia="仿宋_GB2312" w:cs="仿宋_GB2312"/>
          <w:sz w:val="32"/>
          <w:szCs w:val="32"/>
          <w:highlight w:val="none"/>
          <w:u w:val="none"/>
          <w:lang w:val="en-US" w:eastAsia="zh-CN"/>
        </w:rPr>
        <w:t>完善</w:t>
      </w:r>
      <w:r>
        <w:rPr>
          <w:rFonts w:hint="default" w:ascii="仿宋_GB2312" w:hAnsi="仿宋_GB2312" w:eastAsia="仿宋_GB2312" w:cs="仿宋_GB2312"/>
          <w:sz w:val="32"/>
          <w:szCs w:val="32"/>
          <w:highlight w:val="none"/>
          <w:u w:val="none"/>
          <w:lang w:val="en-US" w:eastAsia="zh-CN"/>
        </w:rPr>
        <w:t>行政</w:t>
      </w:r>
      <w:r>
        <w:rPr>
          <w:rFonts w:hint="eastAsia" w:ascii="仿宋_GB2312" w:hAnsi="仿宋_GB2312" w:eastAsia="仿宋_GB2312" w:cs="仿宋_GB2312"/>
          <w:sz w:val="32"/>
          <w:szCs w:val="32"/>
          <w:highlight w:val="none"/>
          <w:u w:val="none"/>
          <w:lang w:val="en-US" w:eastAsia="zh-CN"/>
        </w:rPr>
        <w:t>处罚裁量基准</w:t>
      </w:r>
      <w:r>
        <w:rPr>
          <w:rFonts w:hint="default" w:ascii="仿宋_GB2312" w:hAnsi="仿宋_GB2312" w:eastAsia="仿宋_GB2312" w:cs="仿宋_GB2312"/>
          <w:sz w:val="32"/>
          <w:szCs w:val="32"/>
          <w:highlight w:val="none"/>
          <w:u w:val="none"/>
          <w:lang w:val="en-US" w:eastAsia="zh-CN"/>
        </w:rPr>
        <w:t>制度</w:t>
      </w:r>
      <w:r>
        <w:rPr>
          <w:rFonts w:hint="eastAsia" w:ascii="仿宋_GB2312" w:hAnsi="仿宋_GB2312" w:eastAsia="仿宋_GB2312" w:cs="仿宋_GB2312"/>
          <w:sz w:val="32"/>
          <w:szCs w:val="32"/>
          <w:highlight w:val="none"/>
          <w:u w:val="none"/>
          <w:lang w:val="en-US" w:eastAsia="zh-CN"/>
        </w:rPr>
        <w:t>，结合本市财政行政处罚执法实际，</w:t>
      </w:r>
      <w:r>
        <w:rPr>
          <w:rFonts w:hint="eastAsia" w:ascii="仿宋_GB2312" w:hAnsi="仿宋_GB2312" w:eastAsia="仿宋_GB2312" w:cs="仿宋_GB2312"/>
          <w:sz w:val="32"/>
          <w:szCs w:val="32"/>
          <w:highlight w:val="none"/>
          <w:u w:val="none"/>
          <w:lang w:eastAsia="zh-CN"/>
        </w:rPr>
        <w:t>北京市财政局研究制定了《北京市财政局关于印发</w:t>
      </w:r>
      <w:r>
        <w:rPr>
          <w:rFonts w:hint="eastAsia" w:ascii="仿宋_GB2312" w:hAnsi="仿宋_GB2312" w:eastAsia="仿宋_GB2312" w:cs="仿宋_GB2312"/>
          <w:sz w:val="32"/>
          <w:szCs w:val="32"/>
          <w:highlight w:val="none"/>
          <w:u w:val="none"/>
          <w:lang w:val="en-US" w:eastAsia="zh-CN"/>
        </w:rPr>
        <w:t>〈</w:t>
      </w:r>
      <w:r>
        <w:rPr>
          <w:rFonts w:hint="eastAsia" w:ascii="仿宋_GB2312" w:hAnsi="仿宋_GB2312" w:eastAsia="仿宋_GB2312" w:cs="仿宋_GB2312"/>
          <w:sz w:val="32"/>
          <w:szCs w:val="32"/>
          <w:highlight w:val="none"/>
          <w:u w:val="none"/>
          <w:lang w:eastAsia="zh-CN"/>
        </w:rPr>
        <w:t>北京市财政系统行政处罚裁量基准</w:t>
      </w:r>
      <w:r>
        <w:rPr>
          <w:rFonts w:hint="eastAsia" w:ascii="仿宋_GB2312" w:hAnsi="仿宋_GB2312" w:eastAsia="仿宋_GB2312" w:cs="仿宋_GB2312"/>
          <w:sz w:val="32"/>
          <w:szCs w:val="32"/>
          <w:highlight w:val="none"/>
          <w:u w:val="none"/>
          <w:lang w:val="en-US" w:eastAsia="zh-CN"/>
        </w:rPr>
        <w:t>〉</w:t>
      </w:r>
      <w:r>
        <w:rPr>
          <w:rFonts w:hint="eastAsia" w:ascii="仿宋_GB2312" w:hAnsi="仿宋_GB2312" w:eastAsia="仿宋_GB2312" w:cs="仿宋_GB2312"/>
          <w:sz w:val="32"/>
          <w:szCs w:val="32"/>
          <w:highlight w:val="none"/>
          <w:u w:val="none"/>
          <w:lang w:eastAsia="zh-CN"/>
        </w:rPr>
        <w:t>的通知》（以下简称《裁量基准》）。</w:t>
      </w:r>
    </w:p>
    <w:p w14:paraId="73AB4E27">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highlight w:val="none"/>
          <w:u w:val="none"/>
          <w:lang w:eastAsia="zh-CN"/>
        </w:rPr>
      </w:pPr>
      <w:r>
        <w:rPr>
          <w:rFonts w:hint="eastAsia" w:ascii="黑体" w:hAnsi="黑体" w:eastAsia="黑体" w:cs="黑体"/>
          <w:sz w:val="32"/>
          <w:szCs w:val="32"/>
          <w:highlight w:val="none"/>
          <w:u w:val="none"/>
          <w:lang w:eastAsia="zh-CN"/>
        </w:rPr>
        <w:t>二、制定目的</w:t>
      </w:r>
    </w:p>
    <w:p w14:paraId="6C7987D6">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u w:val="none"/>
          <w:lang w:eastAsia="zh-CN"/>
        </w:rPr>
        <w:t>《裁量基准》旨在</w:t>
      </w:r>
      <w:r>
        <w:rPr>
          <w:rFonts w:hint="eastAsia" w:ascii="仿宋_GB2312" w:hAnsi="仿宋_GB2312" w:eastAsia="仿宋_GB2312" w:cs="仿宋_GB2312"/>
          <w:color w:val="auto"/>
          <w:sz w:val="32"/>
          <w:szCs w:val="32"/>
          <w:highlight w:val="none"/>
          <w:lang w:val="en-US" w:eastAsia="zh-CN"/>
        </w:rPr>
        <w:t>按照国家和本市关于行政处罚裁量基准制定与管理的要求，</w:t>
      </w:r>
      <w:r>
        <w:rPr>
          <w:rFonts w:hint="eastAsia" w:ascii="仿宋_GB2312" w:hAnsi="仿宋_GB2312" w:eastAsia="仿宋_GB2312" w:cs="仿宋_GB2312"/>
          <w:sz w:val="32"/>
          <w:szCs w:val="32"/>
          <w:highlight w:val="none"/>
          <w:u w:val="none"/>
          <w:lang w:eastAsia="zh-CN"/>
        </w:rPr>
        <w:t>适应经济社会发展变化及行政监管工作实际，持续</w:t>
      </w:r>
      <w:r>
        <w:rPr>
          <w:rFonts w:hint="eastAsia" w:ascii="仿宋_GB2312" w:hAnsi="仿宋_GB2312" w:eastAsia="仿宋_GB2312" w:cs="仿宋_GB2312"/>
          <w:color w:val="auto"/>
          <w:sz w:val="32"/>
          <w:szCs w:val="32"/>
          <w:highlight w:val="none"/>
          <w:u w:val="none"/>
          <w:lang w:val="en-US" w:eastAsia="zh-CN"/>
        </w:rPr>
        <w:t>规范北京市财政系统行政处罚裁量行为，</w:t>
      </w:r>
      <w:r>
        <w:rPr>
          <w:rFonts w:hint="eastAsia" w:ascii="仿宋_GB2312" w:hAnsi="仿宋_GB2312" w:eastAsia="仿宋_GB2312" w:cs="仿宋_GB2312"/>
          <w:sz w:val="32"/>
          <w:szCs w:val="32"/>
          <w:highlight w:val="none"/>
          <w:u w:val="none"/>
          <w:lang w:eastAsia="zh-CN"/>
        </w:rPr>
        <w:t>全面推进财政领域严格规范公正文明执法，保护公民、法人、和其他组织的合法权益，维护社会经济秩序，提高依法行政和依法履职能力水平。</w:t>
      </w:r>
    </w:p>
    <w:p w14:paraId="197AE0EB">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highlight w:val="none"/>
          <w:u w:val="none"/>
          <w:lang w:eastAsia="zh-CN"/>
        </w:rPr>
      </w:pPr>
      <w:r>
        <w:rPr>
          <w:rFonts w:hint="eastAsia" w:ascii="黑体" w:hAnsi="黑体" w:eastAsia="黑体" w:cs="黑体"/>
          <w:sz w:val="32"/>
          <w:szCs w:val="32"/>
          <w:highlight w:val="none"/>
          <w:u w:val="none"/>
          <w:lang w:eastAsia="zh-CN"/>
        </w:rPr>
        <w:t>三、制定原则</w:t>
      </w:r>
    </w:p>
    <w:p w14:paraId="0901BA6A">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highlight w:val="none"/>
          <w:u w:val="none"/>
          <w:lang w:eastAsia="zh-CN"/>
        </w:rPr>
      </w:pPr>
      <w:r>
        <w:rPr>
          <w:rFonts w:hint="eastAsia" w:ascii="仿宋_GB2312" w:hAnsi="仿宋_GB2312" w:eastAsia="仿宋_GB2312" w:cs="仿宋_GB2312"/>
          <w:b/>
          <w:bCs/>
          <w:sz w:val="32"/>
          <w:szCs w:val="32"/>
          <w:highlight w:val="none"/>
          <w:u w:val="none"/>
          <w:lang w:eastAsia="zh-CN"/>
        </w:rPr>
        <w:t>一是</w:t>
      </w:r>
      <w:r>
        <w:rPr>
          <w:rFonts w:hint="eastAsia" w:ascii="仿宋_GB2312" w:hAnsi="仿宋_GB2312" w:eastAsia="仿宋_GB2312" w:cs="仿宋_GB2312"/>
          <w:sz w:val="32"/>
          <w:szCs w:val="32"/>
          <w:highlight w:val="none"/>
          <w:u w:val="none"/>
          <w:lang w:eastAsia="zh-CN"/>
        </w:rPr>
        <w:t>坚持法制统一原则。各项</w:t>
      </w:r>
      <w:r>
        <w:rPr>
          <w:rFonts w:hint="eastAsia" w:eastAsia="仿宋_GB2312"/>
          <w:sz w:val="32"/>
          <w:highlight w:val="none"/>
          <w:u w:val="none"/>
        </w:rPr>
        <w:t>行政</w:t>
      </w:r>
      <w:r>
        <w:rPr>
          <w:rFonts w:hint="eastAsia" w:eastAsia="仿宋_GB2312"/>
          <w:sz w:val="32"/>
          <w:highlight w:val="none"/>
          <w:u w:val="none"/>
          <w:lang w:eastAsia="zh-CN"/>
        </w:rPr>
        <w:t>处罚裁量基准</w:t>
      </w:r>
      <w:r>
        <w:rPr>
          <w:rFonts w:hint="eastAsia" w:eastAsia="仿宋_GB2312"/>
          <w:sz w:val="32"/>
          <w:highlight w:val="none"/>
          <w:u w:val="none"/>
        </w:rPr>
        <w:t>的设定</w:t>
      </w:r>
      <w:r>
        <w:rPr>
          <w:rFonts w:hint="eastAsia" w:eastAsia="仿宋_GB2312"/>
          <w:sz w:val="32"/>
          <w:highlight w:val="none"/>
          <w:u w:val="none"/>
          <w:lang w:eastAsia="zh-CN"/>
        </w:rPr>
        <w:t>应</w:t>
      </w:r>
      <w:r>
        <w:rPr>
          <w:rFonts w:hint="eastAsia" w:eastAsia="仿宋_GB2312"/>
          <w:sz w:val="32"/>
          <w:highlight w:val="none"/>
          <w:u w:val="none"/>
        </w:rPr>
        <w:t>于法于规有据，符合法律、法规、规章有关</w:t>
      </w:r>
      <w:r>
        <w:rPr>
          <w:rFonts w:hint="eastAsia" w:eastAsia="仿宋_GB2312"/>
          <w:sz w:val="32"/>
          <w:highlight w:val="none"/>
          <w:u w:val="none"/>
          <w:lang w:eastAsia="zh-CN"/>
        </w:rPr>
        <w:t>处罚</w:t>
      </w:r>
      <w:r>
        <w:rPr>
          <w:rFonts w:hint="eastAsia" w:eastAsia="仿宋_GB2312"/>
          <w:sz w:val="32"/>
          <w:highlight w:val="none"/>
          <w:u w:val="none"/>
        </w:rPr>
        <w:t>行政执法事项、条件、程序、种类、幅度的规定</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b/>
          <w:bCs/>
          <w:sz w:val="32"/>
          <w:szCs w:val="32"/>
          <w:highlight w:val="none"/>
          <w:u w:val="none"/>
          <w:lang w:eastAsia="zh-CN"/>
        </w:rPr>
        <w:t>二是</w:t>
      </w:r>
      <w:r>
        <w:rPr>
          <w:rFonts w:hint="eastAsia" w:eastAsia="仿宋_GB2312"/>
          <w:sz w:val="32"/>
          <w:highlight w:val="none"/>
          <w:u w:val="none"/>
        </w:rPr>
        <w:t>坚持公平合理。综合考虑行政</w:t>
      </w:r>
      <w:r>
        <w:rPr>
          <w:rFonts w:hint="eastAsia" w:eastAsia="仿宋_GB2312"/>
          <w:sz w:val="32"/>
          <w:highlight w:val="none"/>
          <w:u w:val="none"/>
          <w:lang w:eastAsia="zh-CN"/>
        </w:rPr>
        <w:t>处罚</w:t>
      </w:r>
      <w:r>
        <w:rPr>
          <w:rFonts w:hint="eastAsia" w:eastAsia="仿宋_GB2312"/>
          <w:sz w:val="32"/>
          <w:highlight w:val="none"/>
          <w:u w:val="none"/>
        </w:rPr>
        <w:t>职权的种类</w:t>
      </w:r>
      <w:r>
        <w:rPr>
          <w:rFonts w:hint="eastAsia" w:eastAsia="仿宋_GB2312"/>
          <w:sz w:val="32"/>
          <w:highlight w:val="none"/>
          <w:u w:val="none"/>
          <w:lang w:eastAsia="zh-CN"/>
        </w:rPr>
        <w:t>和处罚执法行为</w:t>
      </w:r>
      <w:r>
        <w:rPr>
          <w:rFonts w:hint="eastAsia" w:eastAsia="仿宋_GB2312"/>
          <w:sz w:val="32"/>
          <w:highlight w:val="none"/>
          <w:u w:val="none"/>
        </w:rPr>
        <w:t>的事实、性质、情节、法律要求和本地区经济社会发展状况等因素</w:t>
      </w:r>
      <w:r>
        <w:rPr>
          <w:rFonts w:hint="eastAsia" w:eastAsia="仿宋_GB2312"/>
          <w:sz w:val="32"/>
          <w:highlight w:val="none"/>
          <w:u w:val="none"/>
          <w:lang w:eastAsia="zh-CN"/>
        </w:rPr>
        <w:t>制定</w:t>
      </w:r>
      <w:r>
        <w:rPr>
          <w:rFonts w:hint="eastAsia" w:ascii="仿宋_GB2312" w:hAnsi="仿宋_GB2312" w:eastAsia="仿宋_GB2312" w:cs="仿宋_GB2312"/>
          <w:sz w:val="32"/>
          <w:szCs w:val="32"/>
          <w:highlight w:val="none"/>
          <w:u w:val="none"/>
          <w:lang w:eastAsia="zh-CN"/>
        </w:rPr>
        <w:t>《裁量基准》</w:t>
      </w:r>
      <w:r>
        <w:rPr>
          <w:rFonts w:hint="eastAsia" w:eastAsia="仿宋_GB2312"/>
          <w:sz w:val="32"/>
          <w:highlight w:val="none"/>
          <w:u w:val="none"/>
        </w:rPr>
        <w:t>，</w:t>
      </w:r>
      <w:r>
        <w:rPr>
          <w:rFonts w:hint="eastAsia" w:eastAsia="仿宋_GB2312"/>
          <w:sz w:val="32"/>
          <w:highlight w:val="none"/>
          <w:u w:val="none"/>
          <w:lang w:eastAsia="zh-CN"/>
        </w:rPr>
        <w:t>确保裁量档次划分、裁量情节设计和裁量标准</w:t>
      </w:r>
      <w:r>
        <w:rPr>
          <w:rFonts w:hint="eastAsia" w:eastAsia="仿宋_GB2312"/>
          <w:sz w:val="32"/>
          <w:highlight w:val="none"/>
          <w:u w:val="none"/>
        </w:rPr>
        <w:t>符合社会公序良俗和公众合理期待</w:t>
      </w:r>
      <w:r>
        <w:rPr>
          <w:rFonts w:hint="eastAsia" w:eastAsia="仿宋_GB2312"/>
          <w:sz w:val="32"/>
          <w:highlight w:val="none"/>
          <w:u w:val="none"/>
          <w:lang w:eastAsia="zh-CN"/>
        </w:rPr>
        <w:t>，</w:t>
      </w:r>
      <w:r>
        <w:rPr>
          <w:rFonts w:hint="eastAsia" w:eastAsia="仿宋_GB2312"/>
          <w:sz w:val="32"/>
          <w:highlight w:val="none"/>
          <w:u w:val="none"/>
        </w:rPr>
        <w:t>平等对待公民、法人和其他组织，对类别、性质、情节相同或者相近事项处理结果</w:t>
      </w:r>
      <w:r>
        <w:rPr>
          <w:rFonts w:hint="eastAsia" w:eastAsia="仿宋_GB2312"/>
          <w:sz w:val="32"/>
          <w:highlight w:val="none"/>
          <w:u w:val="none"/>
          <w:lang w:eastAsia="zh-CN"/>
        </w:rPr>
        <w:t>保持</w:t>
      </w:r>
      <w:r>
        <w:rPr>
          <w:rFonts w:hint="eastAsia" w:eastAsia="仿宋_GB2312"/>
          <w:sz w:val="32"/>
          <w:highlight w:val="none"/>
          <w:u w:val="none"/>
        </w:rPr>
        <w:t>基本一致。</w:t>
      </w:r>
      <w:r>
        <w:rPr>
          <w:rFonts w:hint="eastAsia" w:ascii="仿宋_GB2312" w:hAnsi="仿宋_GB2312" w:eastAsia="仿宋_GB2312" w:cs="仿宋_GB2312"/>
          <w:b/>
          <w:bCs/>
          <w:sz w:val="32"/>
          <w:szCs w:val="32"/>
          <w:highlight w:val="none"/>
          <w:u w:val="none"/>
          <w:lang w:eastAsia="zh-CN"/>
        </w:rPr>
        <w:t>三是</w:t>
      </w:r>
      <w:r>
        <w:rPr>
          <w:rFonts w:hint="eastAsia" w:ascii="仿宋_GB2312" w:hAnsi="仿宋_GB2312" w:eastAsia="仿宋_GB2312" w:cs="仿宋_GB2312"/>
          <w:sz w:val="32"/>
          <w:szCs w:val="32"/>
          <w:highlight w:val="none"/>
          <w:u w:val="none"/>
          <w:lang w:eastAsia="zh-CN"/>
        </w:rPr>
        <w:t>坚持问题导向。从市、区两级财政部门行政执法工作面临的客观实际出发，构建统一规范、运转高效、针对性强的制度体系，满足执法需要，增强裁量基准制度的系统性、协调性、实用性。</w:t>
      </w:r>
      <w:r>
        <w:rPr>
          <w:rFonts w:hint="eastAsia" w:ascii="仿宋_GB2312" w:hAnsi="仿宋_GB2312" w:eastAsia="仿宋_GB2312" w:cs="仿宋_GB2312"/>
          <w:b/>
          <w:bCs/>
          <w:sz w:val="32"/>
          <w:szCs w:val="32"/>
          <w:highlight w:val="none"/>
          <w:u w:val="none"/>
          <w:lang w:eastAsia="zh-CN"/>
        </w:rPr>
        <w:t>四是</w:t>
      </w:r>
      <w:r>
        <w:rPr>
          <w:rFonts w:hint="eastAsia" w:ascii="仿宋_GB2312" w:hAnsi="仿宋_GB2312" w:eastAsia="仿宋_GB2312" w:cs="仿宋_GB2312"/>
          <w:sz w:val="32"/>
          <w:szCs w:val="32"/>
          <w:highlight w:val="none"/>
          <w:u w:val="none"/>
          <w:lang w:eastAsia="zh-CN"/>
        </w:rPr>
        <w:t>坚持科学论证。</w:t>
      </w:r>
      <w:r>
        <w:rPr>
          <w:rFonts w:hint="eastAsia" w:eastAsia="仿宋_GB2312"/>
          <w:sz w:val="32"/>
          <w:highlight w:val="none"/>
          <w:u w:val="none"/>
        </w:rPr>
        <w:t>科学分析影响行政</w:t>
      </w:r>
      <w:r>
        <w:rPr>
          <w:rFonts w:hint="eastAsia" w:eastAsia="仿宋_GB2312"/>
          <w:sz w:val="32"/>
          <w:highlight w:val="none"/>
          <w:u w:val="none"/>
          <w:lang w:eastAsia="zh-CN"/>
        </w:rPr>
        <w:t>处罚</w:t>
      </w:r>
      <w:r>
        <w:rPr>
          <w:rFonts w:hint="eastAsia" w:eastAsia="仿宋_GB2312"/>
          <w:sz w:val="32"/>
          <w:highlight w:val="none"/>
          <w:u w:val="none"/>
        </w:rPr>
        <w:t>执法行为的裁量因素，充分考量</w:t>
      </w:r>
      <w:r>
        <w:rPr>
          <w:rFonts w:hint="eastAsia" w:ascii="仿宋_GB2312" w:hAnsi="仿宋_GB2312" w:eastAsia="仿宋_GB2312" w:cs="仿宋_GB2312"/>
          <w:sz w:val="32"/>
          <w:szCs w:val="32"/>
          <w:highlight w:val="none"/>
          <w:u w:val="none"/>
          <w:lang w:eastAsia="zh-CN"/>
        </w:rPr>
        <w:t>《裁量基准》</w:t>
      </w:r>
      <w:r>
        <w:rPr>
          <w:rFonts w:hint="eastAsia" w:eastAsia="仿宋_GB2312"/>
          <w:sz w:val="32"/>
          <w:highlight w:val="none"/>
          <w:u w:val="none"/>
        </w:rPr>
        <w:t>的实施效果，做好裁量</w:t>
      </w:r>
      <w:r>
        <w:rPr>
          <w:rFonts w:hint="eastAsia" w:eastAsia="仿宋_GB2312"/>
          <w:sz w:val="32"/>
          <w:highlight w:val="none"/>
          <w:u w:val="none"/>
          <w:lang w:eastAsia="zh-CN"/>
        </w:rPr>
        <w:t>档次</w:t>
      </w:r>
      <w:r>
        <w:rPr>
          <w:rFonts w:hint="eastAsia" w:eastAsia="仿宋_GB2312"/>
          <w:sz w:val="32"/>
          <w:highlight w:val="none"/>
          <w:u w:val="none"/>
        </w:rPr>
        <w:t>与裁量因素的科学衔接、有效结合，实现各裁量</w:t>
      </w:r>
      <w:r>
        <w:rPr>
          <w:rFonts w:hint="eastAsia" w:eastAsia="仿宋_GB2312"/>
          <w:sz w:val="32"/>
          <w:highlight w:val="none"/>
          <w:u w:val="none"/>
          <w:lang w:eastAsia="zh-CN"/>
        </w:rPr>
        <w:t>档次</w:t>
      </w:r>
      <w:r>
        <w:rPr>
          <w:rFonts w:hint="eastAsia" w:eastAsia="仿宋_GB2312"/>
          <w:sz w:val="32"/>
          <w:highlight w:val="none"/>
          <w:u w:val="none"/>
        </w:rPr>
        <w:t>适当、均衡，确保行政</w:t>
      </w:r>
      <w:r>
        <w:rPr>
          <w:rFonts w:hint="eastAsia" w:eastAsia="仿宋_GB2312"/>
          <w:sz w:val="32"/>
          <w:highlight w:val="none"/>
          <w:u w:val="none"/>
          <w:lang w:eastAsia="zh-CN"/>
        </w:rPr>
        <w:t>处罚</w:t>
      </w:r>
      <w:r>
        <w:rPr>
          <w:rFonts w:hint="eastAsia" w:eastAsia="仿宋_GB2312"/>
          <w:sz w:val="32"/>
          <w:highlight w:val="none"/>
          <w:u w:val="none"/>
        </w:rPr>
        <w:t>执法适用的具体标准科学合理、管用好用</w:t>
      </w:r>
      <w:r>
        <w:rPr>
          <w:rFonts w:hint="eastAsia" w:ascii="仿宋_GB2312" w:hAnsi="仿宋_GB2312" w:eastAsia="仿宋_GB2312" w:cs="仿宋_GB2312"/>
          <w:sz w:val="32"/>
          <w:szCs w:val="32"/>
          <w:highlight w:val="none"/>
          <w:u w:val="none"/>
          <w:lang w:eastAsia="zh-CN"/>
        </w:rPr>
        <w:t>。</w:t>
      </w:r>
    </w:p>
    <w:p w14:paraId="159A04DB">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highlight w:val="none"/>
          <w:u w:val="none"/>
          <w:lang w:eastAsia="zh-CN"/>
        </w:rPr>
      </w:pPr>
      <w:r>
        <w:rPr>
          <w:rFonts w:hint="eastAsia" w:ascii="黑体" w:hAnsi="黑体" w:eastAsia="黑体" w:cs="黑体"/>
          <w:sz w:val="32"/>
          <w:szCs w:val="32"/>
          <w:highlight w:val="none"/>
          <w:u w:val="none"/>
          <w:lang w:eastAsia="zh-CN"/>
        </w:rPr>
        <w:t>四、主要内容</w:t>
      </w:r>
    </w:p>
    <w:p w14:paraId="5019DC1F">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highlight w:val="none"/>
          <w:u w:val="none"/>
          <w:lang w:val="en-US" w:eastAsia="zh-CN"/>
        </w:rPr>
      </w:pPr>
      <w:r>
        <w:rPr>
          <w:rFonts w:hint="eastAsia" w:eastAsia="仿宋_GB2312"/>
          <w:sz w:val="32"/>
          <w:highlight w:val="none"/>
          <w:u w:val="none"/>
          <w:lang w:val="en-US" w:eastAsia="zh-CN"/>
        </w:rPr>
        <w:t>《裁量基准》</w:t>
      </w:r>
      <w:r>
        <w:rPr>
          <w:rFonts w:hint="eastAsia" w:ascii="仿宋_GB2312" w:hAnsi="仿宋_GB2312" w:eastAsia="仿宋_GB2312" w:cs="仿宋_GB2312"/>
          <w:sz w:val="32"/>
          <w:highlight w:val="none"/>
          <w:u w:val="none"/>
        </w:rPr>
        <w:t>包括</w:t>
      </w:r>
      <w:r>
        <w:rPr>
          <w:rFonts w:hint="eastAsia" w:ascii="仿宋_GB2312" w:hAnsi="仿宋_GB2312" w:eastAsia="仿宋_GB2312" w:cs="仿宋_GB2312"/>
          <w:sz w:val="32"/>
          <w:highlight w:val="none"/>
          <w:u w:val="none"/>
          <w:lang w:eastAsia="zh-CN"/>
        </w:rPr>
        <w:t>了序号、职权编码、</w:t>
      </w:r>
      <w:r>
        <w:rPr>
          <w:rFonts w:hint="eastAsia" w:ascii="仿宋_GB2312" w:hAnsi="仿宋_GB2312" w:eastAsia="仿宋_GB2312" w:cs="仿宋_GB2312"/>
          <w:sz w:val="32"/>
          <w:highlight w:val="none"/>
          <w:u w:val="none"/>
        </w:rPr>
        <w:t>违法行为、</w:t>
      </w:r>
      <w:r>
        <w:rPr>
          <w:rFonts w:hint="eastAsia" w:ascii="仿宋_GB2312" w:hAnsi="仿宋_GB2312" w:eastAsia="仿宋_GB2312" w:cs="仿宋_GB2312"/>
          <w:sz w:val="32"/>
          <w:highlight w:val="none"/>
          <w:u w:val="none"/>
          <w:lang w:eastAsia="zh-CN"/>
        </w:rPr>
        <w:t>违法行为法律依据、处罚</w:t>
      </w:r>
      <w:r>
        <w:rPr>
          <w:rFonts w:hint="eastAsia" w:ascii="仿宋_GB2312" w:hAnsi="仿宋_GB2312" w:eastAsia="仿宋_GB2312" w:cs="仿宋_GB2312"/>
          <w:sz w:val="32"/>
          <w:highlight w:val="none"/>
          <w:u w:val="none"/>
        </w:rPr>
        <w:t>依据、裁量</w:t>
      </w:r>
      <w:r>
        <w:rPr>
          <w:rFonts w:hint="eastAsia" w:ascii="仿宋_GB2312" w:hAnsi="仿宋_GB2312" w:eastAsia="仿宋_GB2312" w:cs="仿宋_GB2312"/>
          <w:sz w:val="32"/>
          <w:highlight w:val="none"/>
          <w:u w:val="none"/>
          <w:lang w:eastAsia="zh-CN"/>
        </w:rPr>
        <w:t>档次</w:t>
      </w:r>
      <w:r>
        <w:rPr>
          <w:rFonts w:hint="eastAsia" w:ascii="仿宋_GB2312" w:hAnsi="仿宋_GB2312" w:eastAsia="仿宋_GB2312" w:cs="仿宋_GB2312"/>
          <w:sz w:val="32"/>
          <w:highlight w:val="none"/>
          <w:u w:val="none"/>
        </w:rPr>
        <w:t>、</w:t>
      </w:r>
      <w:r>
        <w:rPr>
          <w:rFonts w:hint="eastAsia" w:ascii="仿宋_GB2312" w:hAnsi="仿宋_GB2312" w:eastAsia="仿宋_GB2312" w:cs="仿宋_GB2312"/>
          <w:sz w:val="32"/>
          <w:highlight w:val="none"/>
          <w:u w:val="none"/>
          <w:lang w:eastAsia="zh-CN"/>
        </w:rPr>
        <w:t>裁量情节</w:t>
      </w:r>
      <w:r>
        <w:rPr>
          <w:rFonts w:hint="eastAsia" w:ascii="仿宋_GB2312" w:hAnsi="仿宋_GB2312" w:eastAsia="仿宋_GB2312" w:cs="仿宋_GB2312"/>
          <w:sz w:val="32"/>
          <w:highlight w:val="none"/>
          <w:u w:val="none"/>
        </w:rPr>
        <w:t>和</w:t>
      </w:r>
      <w:r>
        <w:rPr>
          <w:rFonts w:hint="eastAsia" w:ascii="仿宋_GB2312" w:hAnsi="仿宋_GB2312" w:eastAsia="仿宋_GB2312" w:cs="仿宋_GB2312"/>
          <w:sz w:val="32"/>
          <w:highlight w:val="none"/>
          <w:u w:val="none"/>
          <w:lang w:eastAsia="zh-CN"/>
        </w:rPr>
        <w:t>裁量基准</w:t>
      </w:r>
      <w:r>
        <w:rPr>
          <w:rFonts w:hint="eastAsia" w:ascii="仿宋_GB2312" w:hAnsi="仿宋_GB2312" w:eastAsia="仿宋_GB2312" w:cs="仿宋_GB2312"/>
          <w:sz w:val="32"/>
          <w:highlight w:val="none"/>
          <w:u w:val="none"/>
        </w:rPr>
        <w:t>等</w:t>
      </w:r>
      <w:r>
        <w:rPr>
          <w:rFonts w:hint="eastAsia" w:ascii="仿宋_GB2312" w:hAnsi="仿宋_GB2312" w:eastAsia="仿宋_GB2312" w:cs="仿宋_GB2312"/>
          <w:sz w:val="32"/>
          <w:highlight w:val="none"/>
          <w:u w:val="none"/>
          <w:lang w:val="en-US" w:eastAsia="zh-CN"/>
        </w:rPr>
        <w:t>8</w:t>
      </w:r>
      <w:r>
        <w:rPr>
          <w:rFonts w:hint="eastAsia" w:ascii="仿宋_GB2312" w:hAnsi="仿宋_GB2312" w:eastAsia="仿宋_GB2312" w:cs="仿宋_GB2312"/>
          <w:sz w:val="32"/>
          <w:highlight w:val="none"/>
          <w:u w:val="none"/>
          <w:lang w:eastAsia="zh-CN"/>
        </w:rPr>
        <w:t>项</w:t>
      </w:r>
      <w:r>
        <w:rPr>
          <w:rFonts w:hint="eastAsia" w:ascii="仿宋_GB2312" w:hAnsi="仿宋_GB2312" w:eastAsia="仿宋_GB2312" w:cs="仿宋_GB2312"/>
          <w:sz w:val="32"/>
          <w:highlight w:val="none"/>
          <w:u w:val="none"/>
        </w:rPr>
        <w:t>内容</w:t>
      </w:r>
      <w:r>
        <w:rPr>
          <w:rFonts w:hint="eastAsia" w:ascii="仿宋_GB2312" w:hAnsi="仿宋_GB2312" w:eastAsia="仿宋_GB2312" w:cs="仿宋_GB2312"/>
          <w:sz w:val="32"/>
          <w:highlight w:val="none"/>
          <w:u w:val="none"/>
          <w:lang w:eastAsia="zh-CN"/>
        </w:rPr>
        <w:t>，</w:t>
      </w:r>
      <w:r>
        <w:rPr>
          <w:rFonts w:hint="eastAsia" w:ascii="仿宋_GB2312" w:hAnsi="仿宋_GB2312" w:eastAsia="仿宋_GB2312" w:cs="仿宋_GB2312"/>
          <w:sz w:val="32"/>
          <w:highlight w:val="none"/>
          <w:u w:val="none"/>
        </w:rPr>
        <w:t>明确</w:t>
      </w:r>
      <w:r>
        <w:rPr>
          <w:rFonts w:hint="eastAsia" w:ascii="仿宋_GB2312" w:hAnsi="仿宋_GB2312" w:eastAsia="仿宋_GB2312" w:cs="仿宋_GB2312"/>
          <w:sz w:val="32"/>
          <w:highlight w:val="none"/>
          <w:u w:val="none"/>
          <w:lang w:eastAsia="zh-CN"/>
        </w:rPr>
        <w:t>了</w:t>
      </w:r>
      <w:r>
        <w:rPr>
          <w:rFonts w:hint="eastAsia" w:ascii="仿宋_GB2312" w:hAnsi="仿宋_GB2312" w:eastAsia="仿宋_GB2312" w:cs="仿宋_GB2312"/>
          <w:sz w:val="32"/>
          <w:highlight w:val="none"/>
          <w:u w:val="none"/>
        </w:rPr>
        <w:t>不</w:t>
      </w:r>
      <w:r>
        <w:rPr>
          <w:rFonts w:hint="eastAsia" w:ascii="仿宋_GB2312" w:hAnsi="仿宋_GB2312" w:eastAsia="仿宋_GB2312" w:cs="仿宋_GB2312"/>
          <w:sz w:val="32"/>
          <w:highlight w:val="none"/>
          <w:u w:val="none"/>
          <w:lang w:eastAsia="zh-CN"/>
        </w:rPr>
        <w:t>罚和免</w:t>
      </w:r>
      <w:r>
        <w:rPr>
          <w:rFonts w:hint="eastAsia" w:ascii="仿宋_GB2312" w:hAnsi="仿宋_GB2312" w:eastAsia="仿宋_GB2312" w:cs="仿宋_GB2312"/>
          <w:sz w:val="32"/>
          <w:highlight w:val="none"/>
          <w:u w:val="none"/>
        </w:rPr>
        <w:t>罚、从轻处罚、</w:t>
      </w:r>
      <w:r>
        <w:rPr>
          <w:rFonts w:hint="eastAsia" w:ascii="仿宋_GB2312" w:hAnsi="仿宋_GB2312" w:eastAsia="仿宋_GB2312" w:cs="仿宋_GB2312"/>
          <w:sz w:val="32"/>
          <w:highlight w:val="none"/>
          <w:u w:val="none"/>
          <w:lang w:eastAsia="zh-CN"/>
        </w:rPr>
        <w:t>一般处罚、</w:t>
      </w:r>
      <w:r>
        <w:rPr>
          <w:rFonts w:hint="eastAsia" w:ascii="仿宋_GB2312" w:hAnsi="仿宋_GB2312" w:eastAsia="仿宋_GB2312" w:cs="仿宋_GB2312"/>
          <w:sz w:val="32"/>
          <w:highlight w:val="none"/>
          <w:u w:val="none"/>
        </w:rPr>
        <w:t>从重处罚的裁量</w:t>
      </w:r>
      <w:r>
        <w:rPr>
          <w:rFonts w:hint="eastAsia" w:ascii="仿宋_GB2312" w:hAnsi="仿宋_GB2312" w:eastAsia="仿宋_GB2312" w:cs="仿宋_GB2312"/>
          <w:sz w:val="32"/>
          <w:highlight w:val="none"/>
          <w:u w:val="none"/>
          <w:lang w:eastAsia="zh-CN"/>
        </w:rPr>
        <w:t>档次以及该裁量档次对应的裁量情节、裁量基准。</w:t>
      </w:r>
      <w:r>
        <w:rPr>
          <w:rFonts w:hint="eastAsia" w:ascii="仿宋_GB2312" w:hAnsi="仿宋_GB2312" w:eastAsia="仿宋_GB2312" w:cs="仿宋_GB2312"/>
          <w:sz w:val="32"/>
          <w:highlight w:val="none"/>
          <w:u w:val="none"/>
          <w:lang w:val="en-US" w:eastAsia="zh-CN"/>
        </w:rPr>
        <w:t>修订的主要内容如下：</w:t>
      </w:r>
    </w:p>
    <w:p w14:paraId="64F21FAF">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jc w:val="left"/>
        <w:textAlignment w:val="auto"/>
        <w:rPr>
          <w:rFonts w:hint="eastAsia" w:eastAsia="仿宋_GB2312"/>
          <w:sz w:val="32"/>
          <w:highlight w:val="none"/>
          <w:u w:val="none"/>
          <w:lang w:val="en-US" w:eastAsia="zh-CN"/>
        </w:rPr>
      </w:pPr>
      <w:r>
        <w:rPr>
          <w:rFonts w:hint="eastAsia" w:ascii="仿宋_GB2312" w:hAnsi="仿宋_GB2312" w:eastAsia="仿宋_GB2312" w:cs="仿宋_GB2312"/>
          <w:b/>
          <w:bCs/>
          <w:sz w:val="32"/>
          <w:highlight w:val="none"/>
          <w:u w:val="none"/>
          <w:lang w:val="en-US" w:eastAsia="zh-CN"/>
        </w:rPr>
        <w:t>一是统筹优化裁量基准制定。</w:t>
      </w:r>
      <w:r>
        <w:rPr>
          <w:rFonts w:hint="eastAsia" w:ascii="仿宋_GB2312" w:hAnsi="仿宋_GB2312" w:eastAsia="仿宋_GB2312" w:cs="仿宋_GB2312"/>
          <w:sz w:val="32"/>
          <w:highlight w:val="none"/>
          <w:u w:val="none"/>
          <w:lang w:val="en-US" w:eastAsia="zh-CN"/>
        </w:rPr>
        <w:t>合并部分违法行为特征接近、危害后果类似、处罚职权事项风险可控、实际执法中不太常用的处罚裁量基准，方便适用；对同一职权下违法行为性质、裁量情节差异大的事项分拆单列，精细裁量</w:t>
      </w:r>
      <w:r>
        <w:rPr>
          <w:rFonts w:hint="eastAsia" w:eastAsia="仿宋_GB2312"/>
          <w:sz w:val="32"/>
          <w:highlight w:val="none"/>
          <w:u w:val="none"/>
          <w:lang w:val="en-US" w:eastAsia="zh-CN"/>
        </w:rPr>
        <w:t>。</w:t>
      </w:r>
    </w:p>
    <w:p w14:paraId="355553A9">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highlight w:val="none"/>
          <w:u w:val="none"/>
          <w:lang w:val="en-US" w:eastAsia="zh-CN"/>
        </w:rPr>
      </w:pPr>
      <w:r>
        <w:rPr>
          <w:rFonts w:hint="eastAsia" w:eastAsia="仿宋_GB2312"/>
          <w:b/>
          <w:bCs/>
          <w:sz w:val="32"/>
          <w:highlight w:val="none"/>
          <w:u w:val="none"/>
          <w:lang w:val="en-US" w:eastAsia="zh-CN"/>
        </w:rPr>
        <w:t>二是科学划分裁量档次。</w:t>
      </w:r>
      <w:r>
        <w:rPr>
          <w:rFonts w:hint="eastAsia" w:eastAsia="仿宋_GB2312"/>
          <w:sz w:val="32"/>
          <w:highlight w:val="none"/>
          <w:u w:val="none"/>
          <w:lang w:val="en-US" w:eastAsia="zh-CN"/>
        </w:rPr>
        <w:t>坚持过罚相当和包容审慎监管并重</w:t>
      </w:r>
      <w:r>
        <w:rPr>
          <w:rFonts w:hint="eastAsia" w:ascii="仿宋_GB2312" w:hAnsi="仿宋_GB2312" w:eastAsia="仿宋_GB2312" w:cs="仿宋_GB2312"/>
          <w:sz w:val="32"/>
          <w:highlight w:val="none"/>
          <w:u w:val="none"/>
          <w:lang w:val="en-US" w:eastAsia="zh-CN"/>
        </w:rPr>
        <w:t>，对处罚幅度超过10万元的处罚事项，按照问题严重程度递进设计5至9档裁量档次；对其余处罚事项，按照由轻及重的逻辑顺序，递进划分1至9档裁量档次，构建起从“不予行政处罚”逐步递增至顶格处罚的裁量档次体系，既体现裁量档次的区分度，又保持各档次之间的逻辑连贯性。</w:t>
      </w:r>
    </w:p>
    <w:p w14:paraId="19CEAA42">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jc w:val="left"/>
        <w:textAlignment w:val="auto"/>
        <w:rPr>
          <w:rFonts w:hint="eastAsia" w:eastAsia="仿宋_GB2312"/>
          <w:sz w:val="32"/>
          <w:highlight w:val="none"/>
          <w:u w:val="none"/>
          <w:lang w:val="en-US" w:eastAsia="zh-CN"/>
        </w:rPr>
      </w:pPr>
      <w:r>
        <w:rPr>
          <w:rFonts w:hint="eastAsia" w:ascii="仿宋_GB2312" w:hAnsi="仿宋_GB2312" w:eastAsia="仿宋_GB2312" w:cs="仿宋_GB2312"/>
          <w:b/>
          <w:bCs/>
          <w:sz w:val="32"/>
          <w:highlight w:val="none"/>
          <w:u w:val="none"/>
          <w:lang w:val="en-US" w:eastAsia="zh-CN"/>
        </w:rPr>
        <w:t>三是细化量化裁量情节。</w:t>
      </w:r>
      <w:r>
        <w:rPr>
          <w:rFonts w:hint="eastAsia" w:ascii="仿宋_GB2312" w:hAnsi="仿宋_GB2312" w:eastAsia="仿宋_GB2312" w:cs="仿宋_GB2312"/>
          <w:sz w:val="32"/>
          <w:highlight w:val="none"/>
          <w:u w:val="none"/>
        </w:rPr>
        <w:t>根据违法行为的事实、性质、情节以及社会危害程度</w:t>
      </w:r>
      <w:r>
        <w:rPr>
          <w:rFonts w:hint="eastAsia" w:ascii="仿宋_GB2312" w:hAnsi="仿宋_GB2312" w:eastAsia="仿宋_GB2312" w:cs="仿宋_GB2312"/>
          <w:sz w:val="32"/>
          <w:highlight w:val="none"/>
          <w:u w:val="none"/>
          <w:lang w:eastAsia="zh-CN"/>
        </w:rPr>
        <w:t>，</w:t>
      </w:r>
      <w:r>
        <w:rPr>
          <w:rFonts w:hint="eastAsia" w:ascii="仿宋_GB2312" w:hAnsi="仿宋_GB2312" w:eastAsia="仿宋_GB2312" w:cs="仿宋_GB2312"/>
          <w:sz w:val="32"/>
          <w:highlight w:val="none"/>
          <w:u w:val="none"/>
          <w:lang w:val="en-US" w:eastAsia="zh-CN"/>
        </w:rPr>
        <w:t>为处罚事项对应的每一个</w:t>
      </w:r>
      <w:r>
        <w:rPr>
          <w:rFonts w:hint="eastAsia" w:eastAsia="仿宋_GB2312"/>
          <w:sz w:val="32"/>
          <w:highlight w:val="none"/>
          <w:u w:val="none"/>
          <w:lang w:val="en-US" w:eastAsia="zh-CN"/>
        </w:rPr>
        <w:t>裁量档次</w:t>
      </w:r>
      <w:r>
        <w:rPr>
          <w:rFonts w:hint="eastAsia" w:eastAsia="仿宋_GB2312"/>
          <w:sz w:val="32"/>
          <w:highlight w:val="none"/>
          <w:u w:val="none"/>
        </w:rPr>
        <w:t>细化量化</w:t>
      </w:r>
      <w:r>
        <w:rPr>
          <w:rFonts w:hint="eastAsia" w:eastAsia="仿宋_GB2312"/>
          <w:sz w:val="32"/>
          <w:highlight w:val="none"/>
          <w:u w:val="none"/>
          <w:lang w:eastAsia="zh-CN"/>
        </w:rPr>
        <w:t>裁量情节，并划定与裁量档次、裁量情节相对应的</w:t>
      </w:r>
      <w:r>
        <w:rPr>
          <w:rFonts w:hint="eastAsia" w:eastAsia="仿宋_GB2312"/>
          <w:sz w:val="32"/>
          <w:highlight w:val="none"/>
          <w:u w:val="none"/>
        </w:rPr>
        <w:t>裁量基准</w:t>
      </w:r>
      <w:r>
        <w:rPr>
          <w:rFonts w:hint="eastAsia" w:eastAsia="仿宋_GB2312"/>
          <w:sz w:val="32"/>
          <w:highlight w:val="none"/>
          <w:u w:val="none"/>
          <w:lang w:val="en-US" w:eastAsia="zh-CN"/>
        </w:rPr>
        <w:t>。</w:t>
      </w:r>
    </w:p>
    <w:p w14:paraId="0332BDBA">
      <w:pPr>
        <w:pStyle w:val="2"/>
        <w:rPr>
          <w:rFonts w:hint="eastAsia" w:ascii="黑体" w:hAnsi="黑体" w:eastAsia="黑体" w:cs="黑体"/>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五、施行时间</w:t>
      </w:r>
    </w:p>
    <w:p w14:paraId="1FE23351">
      <w:pPr>
        <w:suppressAutoHyphens/>
        <w:bidi w:val="0"/>
        <w:adjustRightInd w:val="0"/>
        <w:snapToGrid w:val="0"/>
        <w:spacing w:line="600" w:lineRule="exact"/>
        <w:ind w:firstLine="640" w:firstLineChars="200"/>
        <w:jc w:val="left"/>
        <w:rPr>
          <w:rFonts w:hint="eastAsia" w:eastAsia="仿宋_GB2312"/>
          <w:sz w:val="32"/>
          <w:lang w:val="en-US" w:eastAsia="zh-CN"/>
        </w:rPr>
      </w:pPr>
      <w:r>
        <w:rPr>
          <w:rFonts w:hint="eastAsia" w:eastAsia="仿宋_GB2312"/>
          <w:sz w:val="32"/>
          <w:highlight w:val="none"/>
          <w:u w:val="none"/>
          <w:lang w:val="en-US" w:eastAsia="zh-CN"/>
        </w:rPr>
        <w:t>《裁量基准》</w:t>
      </w:r>
      <w:r>
        <w:rPr>
          <w:rFonts w:hint="eastAsia" w:ascii="仿宋_GB2312" w:hAnsi="仿宋_GB2312" w:eastAsia="仿宋_GB2312" w:cs="仿宋_GB2312"/>
          <w:sz w:val="32"/>
          <w:szCs w:val="32"/>
          <w:highlight w:val="none"/>
          <w:u w:val="none"/>
          <w:lang w:eastAsia="zh-CN"/>
        </w:rPr>
        <w:t>自印发之日起施行。</w:t>
      </w:r>
    </w:p>
    <w:p w14:paraId="0AA1534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6044D49-2F4F-4693-ACEA-1B2519C79CE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4FFE80A-74BF-4B0E-B244-165C7EA94A84}"/>
  </w:font>
  <w:font w:name="方正小标宋简体">
    <w:panose1 w:val="02000000000000000000"/>
    <w:charset w:val="86"/>
    <w:family w:val="auto"/>
    <w:pitch w:val="default"/>
    <w:sig w:usb0="00000001" w:usb1="08000000" w:usb2="00000000" w:usb3="00000000" w:csb0="00040000" w:csb1="00000000"/>
    <w:embedRegular r:id="rId3" w:fontKey="{7A485ABB-86AE-4C8C-B9BC-FEB61E215620}"/>
  </w:font>
  <w:font w:name="仿宋_GB2312">
    <w:altName w:val="仿宋"/>
    <w:panose1 w:val="02010609030101010101"/>
    <w:charset w:val="86"/>
    <w:family w:val="auto"/>
    <w:pitch w:val="default"/>
    <w:sig w:usb0="00000000" w:usb1="00000000" w:usb2="00000000" w:usb3="00000000" w:csb0="00040000" w:csb1="00000000"/>
    <w:embedRegular r:id="rId4" w:fontKey="{8C906DC5-5F89-4C1D-952A-D9E625D071CC}"/>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B13647"/>
    <w:rsid w:val="60B13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oc 2"/>
    <w:next w:val="1"/>
    <w:uiPriority w:val="0"/>
    <w:pPr>
      <w:widowControl w:val="0"/>
      <w:suppressAutoHyphens/>
      <w:bidi w:val="0"/>
      <w:spacing w:line="600" w:lineRule="exact"/>
      <w:ind w:right="-100" w:rightChars="-100" w:firstLine="250" w:firstLineChars="250"/>
      <w:jc w:val="both"/>
    </w:pPr>
    <w:rPr>
      <w:rFonts w:ascii="Calibri" w:hAnsi="Calibri" w:eastAsia="宋体" w:cs="Times New Roman"/>
      <w:color w:val="auto"/>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2026-08-11T06:27:00Z</dcterms:created>
  <dc:creator>WPS_1649743824</dc:creator>
  <cp:lastModifiedBy>WPS_1649743824</cp:lastModifiedBy>
  <dcterms:modified xsi:type="dcterms:W3CDTF">2026-08-11T06:27:23Z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7F82F5179ADC468B9A06F6AB2C8069C9_11</vt:lpwstr>
  </property>
  <property fmtid="{D5CDD505-2E9C-101B-9397-08002B2CF9AE}" pid="4" name="KSOTemplateDocerSaveRecord">
    <vt:lpwstr>eyJoZGlkIjoiYmMzZTNmMGI3ODk1ZGQ4MjkzMGRiZmYzODFkNjEyMjIiLCJ1c2VySWQiOiIxMzYyMTUxNDQ0In0=</vt:lpwstr>
  </property>
</Properties>
</file>